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C4B25" w14:textId="77777777" w:rsidR="008D2B9C" w:rsidRPr="00A92A3E" w:rsidRDefault="008D2B9C" w:rsidP="008D2B9C">
      <w:pPr>
        <w:rPr>
          <w:rFonts w:asciiTheme="minorHAnsi" w:hAnsiTheme="minorHAnsi" w:cstheme="minorHAnsi"/>
          <w:sz w:val="16"/>
          <w:szCs w:val="16"/>
        </w:rPr>
      </w:pPr>
    </w:p>
    <w:p w14:paraId="4164D37C" w14:textId="77777777" w:rsidR="00CF6083" w:rsidRPr="00A92A3E" w:rsidRDefault="00CF6083" w:rsidP="008D2B9C">
      <w:pPr>
        <w:rPr>
          <w:rFonts w:asciiTheme="minorHAnsi" w:hAnsiTheme="minorHAnsi" w:cstheme="minorHAnsi"/>
          <w:sz w:val="16"/>
          <w:szCs w:val="16"/>
        </w:rPr>
      </w:pPr>
    </w:p>
    <w:p w14:paraId="5323CB0D" w14:textId="77777777" w:rsidR="00CF6083" w:rsidRPr="00A92A3E" w:rsidRDefault="00CF6083" w:rsidP="008D2B9C">
      <w:pPr>
        <w:rPr>
          <w:rFonts w:asciiTheme="minorHAnsi" w:hAnsiTheme="minorHAnsi" w:cstheme="minorHAnsi"/>
          <w:sz w:val="16"/>
          <w:szCs w:val="16"/>
        </w:rPr>
      </w:pPr>
    </w:p>
    <w:p w14:paraId="4DD1C1CF" w14:textId="6AEEF7DB" w:rsidR="00CF6083" w:rsidRPr="00A92A3E" w:rsidRDefault="00CF6083" w:rsidP="008D2B9C">
      <w:pPr>
        <w:rPr>
          <w:rFonts w:asciiTheme="minorHAnsi" w:hAnsiTheme="minorHAnsi" w:cstheme="minorHAnsi"/>
          <w:sz w:val="16"/>
          <w:szCs w:val="16"/>
        </w:rPr>
      </w:pPr>
    </w:p>
    <w:p w14:paraId="6FF2AC90" w14:textId="77777777" w:rsidR="00CF6083" w:rsidRPr="00A92A3E" w:rsidRDefault="00CF6083" w:rsidP="008D2B9C">
      <w:pPr>
        <w:rPr>
          <w:rFonts w:asciiTheme="minorHAnsi" w:hAnsiTheme="minorHAnsi" w:cstheme="minorHAnsi"/>
          <w:sz w:val="16"/>
          <w:szCs w:val="16"/>
        </w:rPr>
      </w:pPr>
    </w:p>
    <w:p w14:paraId="793F16DE" w14:textId="77777777" w:rsidR="00CF6083" w:rsidRPr="00A92A3E" w:rsidRDefault="00CF6083" w:rsidP="008D2B9C">
      <w:pPr>
        <w:rPr>
          <w:rFonts w:asciiTheme="minorHAnsi" w:hAnsiTheme="minorHAnsi" w:cstheme="minorHAnsi"/>
          <w:sz w:val="16"/>
          <w:szCs w:val="16"/>
        </w:rPr>
      </w:pPr>
    </w:p>
    <w:p w14:paraId="54F921B5" w14:textId="77777777" w:rsidR="00FB6A3F" w:rsidRPr="00A92A3E" w:rsidRDefault="00FB6A3F" w:rsidP="008D2B9C">
      <w:pPr>
        <w:rPr>
          <w:rFonts w:asciiTheme="minorHAnsi" w:hAnsiTheme="minorHAnsi" w:cstheme="minorHAnsi"/>
          <w:sz w:val="16"/>
          <w:szCs w:val="16"/>
        </w:rPr>
      </w:pPr>
    </w:p>
    <w:p w14:paraId="2CFE46BA" w14:textId="77777777" w:rsidR="00FB6A3F" w:rsidRPr="00A92A3E" w:rsidRDefault="00FB6A3F" w:rsidP="008D2B9C">
      <w:pPr>
        <w:rPr>
          <w:rFonts w:asciiTheme="minorHAnsi" w:hAnsiTheme="minorHAnsi" w:cstheme="minorHAnsi"/>
          <w:sz w:val="16"/>
          <w:szCs w:val="16"/>
        </w:rPr>
      </w:pPr>
    </w:p>
    <w:p w14:paraId="0A2AC7BD" w14:textId="77777777" w:rsidR="00CF6083" w:rsidRPr="00A92A3E" w:rsidRDefault="00CF6083" w:rsidP="008F0988">
      <w:pPr>
        <w:jc w:val="center"/>
        <w:rPr>
          <w:rFonts w:asciiTheme="minorHAnsi" w:hAnsiTheme="minorHAnsi" w:cstheme="minorHAnsi"/>
          <w:color w:val="000000" w:themeColor="text1"/>
          <w:sz w:val="28"/>
          <w:szCs w:val="28"/>
        </w:rPr>
      </w:pPr>
    </w:p>
    <w:p w14:paraId="762006D8" w14:textId="3DFC17AB" w:rsidR="00CF6083" w:rsidRPr="004F49D4" w:rsidRDefault="00CF6083" w:rsidP="008F0988">
      <w:pPr>
        <w:jc w:val="center"/>
        <w:rPr>
          <w:rFonts w:asciiTheme="minorHAnsi" w:hAnsiTheme="minorHAnsi" w:cstheme="minorHAnsi"/>
          <w:b/>
          <w:color w:val="000000" w:themeColor="text1"/>
          <w:sz w:val="32"/>
          <w:szCs w:val="32"/>
        </w:rPr>
      </w:pPr>
      <w:r w:rsidRPr="004F49D4">
        <w:rPr>
          <w:rFonts w:asciiTheme="minorHAnsi" w:hAnsiTheme="minorHAnsi" w:cstheme="minorHAnsi"/>
          <w:b/>
          <w:color w:val="000000" w:themeColor="text1"/>
          <w:sz w:val="32"/>
          <w:szCs w:val="32"/>
        </w:rPr>
        <w:t>POLÍTICA DE INVESTIMENTOS 202</w:t>
      </w:r>
      <w:r w:rsidR="00E95F24" w:rsidRPr="004F49D4">
        <w:rPr>
          <w:rFonts w:asciiTheme="minorHAnsi" w:hAnsiTheme="minorHAnsi" w:cstheme="minorHAnsi"/>
          <w:b/>
          <w:color w:val="000000" w:themeColor="text1"/>
          <w:sz w:val="32"/>
          <w:szCs w:val="32"/>
        </w:rPr>
        <w:t>4</w:t>
      </w:r>
    </w:p>
    <w:p w14:paraId="1BC88196" w14:textId="1236E6C2" w:rsidR="00CF6083" w:rsidRPr="00A92A3E" w:rsidRDefault="00B53180" w:rsidP="008F0988">
      <w:pPr>
        <w:jc w:val="center"/>
        <w:rPr>
          <w:rFonts w:asciiTheme="minorHAnsi" w:hAnsiTheme="minorHAnsi" w:cstheme="minorHAnsi"/>
          <w:color w:val="000000" w:themeColor="text1"/>
          <w:sz w:val="28"/>
          <w:szCs w:val="28"/>
        </w:rPr>
      </w:pPr>
      <w:r>
        <w:rPr>
          <w:rFonts w:asciiTheme="minorHAnsi" w:hAnsiTheme="minorHAnsi" w:cstheme="minorHAnsi"/>
          <w:b/>
          <w:bCs/>
          <w:color w:val="000000" w:themeColor="text1"/>
          <w:sz w:val="28"/>
          <w:szCs w:val="28"/>
        </w:rPr>
        <w:t>FUNDO ESPECIAL DE PREVIDÊNCIA SOCIAL DE JAGUARIÚNA</w:t>
      </w:r>
    </w:p>
    <w:p w14:paraId="0F650130" w14:textId="77777777" w:rsidR="00CF6083" w:rsidRPr="00A92A3E" w:rsidRDefault="00CF6083" w:rsidP="008D2B9C">
      <w:pPr>
        <w:rPr>
          <w:rFonts w:asciiTheme="minorHAnsi" w:hAnsiTheme="minorHAnsi" w:cstheme="minorHAnsi"/>
          <w:sz w:val="16"/>
          <w:szCs w:val="16"/>
        </w:rPr>
      </w:pPr>
    </w:p>
    <w:p w14:paraId="4AB731EA" w14:textId="77777777" w:rsidR="00CF6083" w:rsidRPr="00A92A3E" w:rsidRDefault="00CF6083" w:rsidP="008D2B9C">
      <w:pPr>
        <w:rPr>
          <w:rFonts w:asciiTheme="minorHAnsi" w:hAnsiTheme="minorHAnsi" w:cstheme="minorHAnsi"/>
          <w:sz w:val="16"/>
          <w:szCs w:val="16"/>
        </w:rPr>
      </w:pPr>
    </w:p>
    <w:p w14:paraId="111A2895" w14:textId="77777777" w:rsidR="00CF6083" w:rsidRPr="00A92A3E" w:rsidRDefault="00CF6083" w:rsidP="008D2B9C">
      <w:pPr>
        <w:rPr>
          <w:rFonts w:asciiTheme="minorHAnsi" w:hAnsiTheme="minorHAnsi" w:cstheme="minorHAnsi"/>
          <w:sz w:val="16"/>
          <w:szCs w:val="16"/>
        </w:rPr>
      </w:pPr>
    </w:p>
    <w:p w14:paraId="424BD8B3" w14:textId="77777777" w:rsidR="00CF6083" w:rsidRPr="00A92A3E" w:rsidRDefault="00CF6083" w:rsidP="008D2B9C">
      <w:pPr>
        <w:rPr>
          <w:rFonts w:asciiTheme="minorHAnsi" w:hAnsiTheme="minorHAnsi" w:cstheme="minorHAnsi"/>
          <w:sz w:val="16"/>
          <w:szCs w:val="16"/>
        </w:rPr>
      </w:pPr>
    </w:p>
    <w:p w14:paraId="113DDDA6" w14:textId="77777777" w:rsidR="00CF6083" w:rsidRPr="00A92A3E" w:rsidRDefault="00CF6083" w:rsidP="008D2B9C">
      <w:pPr>
        <w:rPr>
          <w:rFonts w:asciiTheme="minorHAnsi" w:hAnsiTheme="minorHAnsi" w:cstheme="minorHAnsi"/>
          <w:sz w:val="16"/>
          <w:szCs w:val="16"/>
        </w:rPr>
      </w:pPr>
    </w:p>
    <w:p w14:paraId="270517CF" w14:textId="77777777" w:rsidR="00CF6083" w:rsidRPr="00A92A3E" w:rsidRDefault="00CF6083" w:rsidP="008D2B9C">
      <w:pPr>
        <w:rPr>
          <w:rFonts w:asciiTheme="minorHAnsi" w:hAnsiTheme="minorHAnsi" w:cstheme="minorHAnsi"/>
          <w:sz w:val="16"/>
          <w:szCs w:val="16"/>
        </w:rPr>
      </w:pPr>
    </w:p>
    <w:p w14:paraId="08FBBB5D" w14:textId="77777777" w:rsidR="00CF6083" w:rsidRPr="00A92A3E" w:rsidRDefault="00CF6083" w:rsidP="008D2B9C">
      <w:pPr>
        <w:rPr>
          <w:rFonts w:asciiTheme="minorHAnsi" w:hAnsiTheme="minorHAnsi" w:cstheme="minorHAnsi"/>
          <w:sz w:val="16"/>
          <w:szCs w:val="16"/>
        </w:rPr>
      </w:pPr>
    </w:p>
    <w:p w14:paraId="537CE814" w14:textId="77777777" w:rsidR="00CF6083" w:rsidRPr="00A92A3E" w:rsidRDefault="00CF6083" w:rsidP="008D2B9C">
      <w:pPr>
        <w:rPr>
          <w:rFonts w:asciiTheme="minorHAnsi" w:hAnsiTheme="minorHAnsi" w:cstheme="minorHAnsi"/>
          <w:sz w:val="16"/>
          <w:szCs w:val="16"/>
        </w:rPr>
      </w:pPr>
    </w:p>
    <w:p w14:paraId="2A736BAB" w14:textId="77777777" w:rsidR="00CF6083" w:rsidRPr="00A92A3E" w:rsidRDefault="00CF6083" w:rsidP="008D2B9C">
      <w:pPr>
        <w:rPr>
          <w:rFonts w:asciiTheme="minorHAnsi" w:hAnsiTheme="minorHAnsi" w:cstheme="minorHAnsi"/>
          <w:sz w:val="16"/>
          <w:szCs w:val="16"/>
        </w:rPr>
      </w:pPr>
    </w:p>
    <w:p w14:paraId="2B3DA08C" w14:textId="77777777" w:rsidR="002D5B0B" w:rsidRPr="00A92A3E" w:rsidRDefault="002D5B0B" w:rsidP="008D2B9C">
      <w:pPr>
        <w:rPr>
          <w:rFonts w:asciiTheme="minorHAnsi" w:hAnsiTheme="minorHAnsi" w:cstheme="minorHAnsi"/>
          <w:sz w:val="16"/>
          <w:szCs w:val="16"/>
        </w:rPr>
      </w:pPr>
    </w:p>
    <w:p w14:paraId="1F70CD2C" w14:textId="77777777" w:rsidR="00FD2603" w:rsidRPr="00A92A3E" w:rsidRDefault="00FD2603" w:rsidP="008D2B9C">
      <w:pPr>
        <w:rPr>
          <w:rFonts w:asciiTheme="minorHAnsi" w:hAnsiTheme="minorHAnsi" w:cstheme="minorHAnsi"/>
          <w:sz w:val="16"/>
          <w:szCs w:val="16"/>
        </w:rPr>
      </w:pPr>
    </w:p>
    <w:p w14:paraId="13B3E58F" w14:textId="5B3B4B87" w:rsidR="00FD2603" w:rsidRDefault="00FD2603" w:rsidP="008D2B9C">
      <w:pPr>
        <w:rPr>
          <w:rFonts w:asciiTheme="minorHAnsi" w:hAnsiTheme="minorHAnsi" w:cstheme="minorHAnsi"/>
          <w:sz w:val="16"/>
          <w:szCs w:val="16"/>
        </w:rPr>
      </w:pPr>
    </w:p>
    <w:p w14:paraId="0CCD69D7" w14:textId="10A1303E" w:rsidR="00A92A3E" w:rsidRDefault="00A92A3E" w:rsidP="008D2B9C">
      <w:pPr>
        <w:rPr>
          <w:rFonts w:asciiTheme="minorHAnsi" w:hAnsiTheme="minorHAnsi" w:cstheme="minorHAnsi"/>
          <w:sz w:val="16"/>
          <w:szCs w:val="16"/>
        </w:rPr>
      </w:pPr>
    </w:p>
    <w:p w14:paraId="12C46430" w14:textId="1344389E" w:rsidR="00E941AA" w:rsidRDefault="00E941AA" w:rsidP="008D2B9C">
      <w:pPr>
        <w:rPr>
          <w:rFonts w:asciiTheme="minorHAnsi" w:hAnsiTheme="minorHAnsi" w:cstheme="minorHAnsi"/>
          <w:sz w:val="16"/>
          <w:szCs w:val="16"/>
        </w:rPr>
      </w:pPr>
    </w:p>
    <w:p w14:paraId="3B3CBB33" w14:textId="7CC1D267" w:rsidR="00E941AA" w:rsidRDefault="00E941AA" w:rsidP="008D2B9C">
      <w:pPr>
        <w:rPr>
          <w:rFonts w:asciiTheme="minorHAnsi" w:hAnsiTheme="minorHAnsi" w:cstheme="minorHAnsi"/>
          <w:sz w:val="16"/>
          <w:szCs w:val="16"/>
        </w:rPr>
      </w:pPr>
    </w:p>
    <w:p w14:paraId="32B1C336" w14:textId="77777777" w:rsidR="00557EB7" w:rsidRDefault="00557EB7" w:rsidP="008D2B9C">
      <w:pPr>
        <w:rPr>
          <w:rFonts w:asciiTheme="minorHAnsi" w:hAnsiTheme="minorHAnsi" w:cstheme="minorHAnsi"/>
          <w:sz w:val="16"/>
          <w:szCs w:val="16"/>
        </w:rPr>
      </w:pPr>
    </w:p>
    <w:tbl>
      <w:tblPr>
        <w:tblStyle w:val="Tabelacomgrade"/>
        <w:tblW w:w="5000" w:type="pct"/>
        <w:tblLook w:val="04A0" w:firstRow="1" w:lastRow="0" w:firstColumn="1" w:lastColumn="0" w:noHBand="0" w:noVBand="1"/>
      </w:tblPr>
      <w:tblGrid>
        <w:gridCol w:w="4247"/>
        <w:gridCol w:w="1702"/>
        <w:gridCol w:w="2545"/>
      </w:tblGrid>
      <w:tr w:rsidR="00584343" w:rsidRPr="00A92A3E" w14:paraId="5BEB54A2" w14:textId="77777777" w:rsidTr="00546B47">
        <w:trPr>
          <w:trHeight w:val="20"/>
        </w:trPr>
        <w:tc>
          <w:tcPr>
            <w:tcW w:w="2500" w:type="pct"/>
            <w:vAlign w:val="center"/>
          </w:tcPr>
          <w:p w14:paraId="44C37203" w14:textId="77777777" w:rsidR="00E941AA" w:rsidRDefault="00E941AA" w:rsidP="0042455F">
            <w:pPr>
              <w:pStyle w:val="Rodap"/>
              <w:spacing w:before="0"/>
              <w:jc w:val="center"/>
              <w:rPr>
                <w:rFonts w:asciiTheme="minorHAnsi" w:hAnsiTheme="minorHAnsi" w:cstheme="minorHAnsi"/>
                <w:b/>
                <w:sz w:val="16"/>
                <w:szCs w:val="16"/>
              </w:rPr>
            </w:pPr>
          </w:p>
          <w:p w14:paraId="3EDA5AE9" w14:textId="77777777" w:rsidR="00E941AA" w:rsidRDefault="00E941AA" w:rsidP="0042455F">
            <w:pPr>
              <w:pStyle w:val="Rodap"/>
              <w:spacing w:before="0"/>
              <w:jc w:val="center"/>
              <w:rPr>
                <w:rFonts w:asciiTheme="minorHAnsi" w:hAnsiTheme="minorHAnsi" w:cstheme="minorHAnsi"/>
                <w:b/>
                <w:sz w:val="16"/>
                <w:szCs w:val="16"/>
              </w:rPr>
            </w:pPr>
          </w:p>
          <w:p w14:paraId="4457DD08" w14:textId="77777777" w:rsidR="00E941AA" w:rsidRDefault="00E941AA" w:rsidP="0042455F">
            <w:pPr>
              <w:pStyle w:val="Rodap"/>
              <w:spacing w:before="0"/>
              <w:jc w:val="center"/>
              <w:rPr>
                <w:rFonts w:asciiTheme="minorHAnsi" w:hAnsiTheme="minorHAnsi" w:cstheme="minorHAnsi"/>
                <w:b/>
                <w:sz w:val="16"/>
                <w:szCs w:val="16"/>
              </w:rPr>
            </w:pPr>
          </w:p>
          <w:p w14:paraId="07F9EFDC" w14:textId="59DE6865" w:rsidR="00584343" w:rsidRPr="00A92A3E" w:rsidRDefault="00584343" w:rsidP="0042455F">
            <w:pPr>
              <w:pStyle w:val="Rodap"/>
              <w:spacing w:before="0"/>
              <w:jc w:val="center"/>
              <w:rPr>
                <w:rFonts w:asciiTheme="minorHAnsi" w:hAnsiTheme="minorHAnsi" w:cstheme="minorHAnsi"/>
                <w:b/>
                <w:sz w:val="16"/>
                <w:szCs w:val="16"/>
              </w:rPr>
            </w:pPr>
            <w:r w:rsidRPr="00A92A3E">
              <w:rPr>
                <w:rFonts w:asciiTheme="minorHAnsi" w:hAnsiTheme="minorHAnsi" w:cstheme="minorHAnsi"/>
                <w:b/>
                <w:sz w:val="16"/>
                <w:szCs w:val="16"/>
              </w:rPr>
              <w:t>Política de Investimentos</w:t>
            </w:r>
          </w:p>
        </w:tc>
        <w:tc>
          <w:tcPr>
            <w:tcW w:w="1002" w:type="pct"/>
          </w:tcPr>
          <w:p w14:paraId="1A737496" w14:textId="69DC0178" w:rsidR="00584343" w:rsidRPr="00A92A3E" w:rsidRDefault="00584343" w:rsidP="0042455F">
            <w:pPr>
              <w:pStyle w:val="Rodap"/>
              <w:spacing w:before="0"/>
              <w:jc w:val="center"/>
              <w:rPr>
                <w:rFonts w:asciiTheme="minorHAnsi" w:hAnsiTheme="minorHAnsi" w:cstheme="minorHAnsi"/>
                <w:b/>
                <w:sz w:val="16"/>
                <w:szCs w:val="16"/>
              </w:rPr>
            </w:pPr>
            <w:r w:rsidRPr="00A92A3E">
              <w:rPr>
                <w:rFonts w:asciiTheme="minorHAnsi" w:hAnsiTheme="minorHAnsi" w:cstheme="minorHAnsi"/>
                <w:b/>
                <w:sz w:val="16"/>
                <w:szCs w:val="16"/>
              </w:rPr>
              <w:t>VERSÃO</w:t>
            </w:r>
            <w:r w:rsidR="00184B6A">
              <w:rPr>
                <w:rFonts w:asciiTheme="minorHAnsi" w:hAnsiTheme="minorHAnsi" w:cstheme="minorHAnsi"/>
                <w:b/>
                <w:sz w:val="16"/>
                <w:szCs w:val="16"/>
              </w:rPr>
              <w:t xml:space="preserve"> 01</w:t>
            </w:r>
          </w:p>
          <w:p w14:paraId="54C722B5" w14:textId="582E9534" w:rsidR="00184B6A" w:rsidRDefault="006E1333" w:rsidP="0042455F">
            <w:pPr>
              <w:pStyle w:val="Rodap"/>
              <w:spacing w:before="0"/>
              <w:jc w:val="center"/>
              <w:rPr>
                <w:rFonts w:asciiTheme="minorHAnsi" w:hAnsiTheme="minorHAnsi" w:cstheme="minorHAnsi"/>
                <w:sz w:val="16"/>
                <w:szCs w:val="16"/>
              </w:rPr>
            </w:pPr>
            <w:r>
              <w:rPr>
                <w:rFonts w:asciiTheme="minorHAnsi" w:hAnsiTheme="minorHAnsi" w:cstheme="minorHAnsi"/>
                <w:sz w:val="16"/>
                <w:szCs w:val="16"/>
              </w:rPr>
              <w:t>08/11/2023</w:t>
            </w:r>
          </w:p>
          <w:p w14:paraId="5BED0A8D" w14:textId="77777777" w:rsidR="00184B6A" w:rsidRDefault="00184B6A" w:rsidP="0042455F">
            <w:pPr>
              <w:pStyle w:val="Rodap"/>
              <w:spacing w:before="0"/>
              <w:jc w:val="center"/>
              <w:rPr>
                <w:rFonts w:asciiTheme="minorHAnsi" w:hAnsiTheme="minorHAnsi" w:cstheme="minorHAnsi"/>
                <w:sz w:val="16"/>
                <w:szCs w:val="16"/>
              </w:rPr>
            </w:pPr>
          </w:p>
          <w:p w14:paraId="5A4C51AB" w14:textId="71F32624" w:rsidR="00584343" w:rsidRPr="00A92A3E" w:rsidRDefault="00184B6A" w:rsidP="00184B6A">
            <w:pPr>
              <w:pStyle w:val="Rodap"/>
              <w:spacing w:before="0"/>
              <w:jc w:val="center"/>
              <w:rPr>
                <w:rFonts w:asciiTheme="minorHAnsi" w:hAnsiTheme="minorHAnsi" w:cstheme="minorHAnsi"/>
                <w:sz w:val="16"/>
                <w:szCs w:val="16"/>
              </w:rPr>
            </w:pPr>
            <w:r>
              <w:rPr>
                <w:rFonts w:asciiTheme="minorHAnsi" w:hAnsiTheme="minorHAnsi" w:cstheme="minorHAnsi"/>
                <w:sz w:val="16"/>
                <w:szCs w:val="16"/>
              </w:rPr>
              <w:t xml:space="preserve">(para </w:t>
            </w:r>
            <w:r w:rsidR="004F3DCF" w:rsidRPr="00A92A3E">
              <w:rPr>
                <w:rFonts w:asciiTheme="minorHAnsi" w:hAnsiTheme="minorHAnsi" w:cstheme="minorHAnsi"/>
                <w:sz w:val="16"/>
                <w:szCs w:val="16"/>
              </w:rPr>
              <w:t>2024</w:t>
            </w:r>
            <w:r>
              <w:rPr>
                <w:rFonts w:asciiTheme="minorHAnsi" w:hAnsiTheme="minorHAnsi" w:cstheme="minorHAnsi"/>
                <w:sz w:val="16"/>
                <w:szCs w:val="16"/>
              </w:rPr>
              <w:t>)</w:t>
            </w:r>
          </w:p>
        </w:tc>
        <w:tc>
          <w:tcPr>
            <w:tcW w:w="1498" w:type="pct"/>
          </w:tcPr>
          <w:p w14:paraId="3CE5E949" w14:textId="180B2F3D" w:rsidR="00584343" w:rsidRDefault="00584343" w:rsidP="0042455F">
            <w:pPr>
              <w:pStyle w:val="Rodap"/>
              <w:spacing w:before="0"/>
              <w:jc w:val="center"/>
              <w:rPr>
                <w:rFonts w:asciiTheme="minorHAnsi" w:hAnsiTheme="minorHAnsi" w:cstheme="minorHAnsi"/>
                <w:b/>
                <w:sz w:val="16"/>
                <w:szCs w:val="16"/>
              </w:rPr>
            </w:pPr>
            <w:r w:rsidRPr="00A92A3E">
              <w:rPr>
                <w:rFonts w:asciiTheme="minorHAnsi" w:hAnsiTheme="minorHAnsi" w:cstheme="minorHAnsi"/>
                <w:b/>
                <w:sz w:val="16"/>
                <w:szCs w:val="16"/>
              </w:rPr>
              <w:t>APROVADO</w:t>
            </w:r>
          </w:p>
          <w:p w14:paraId="001FE9E4" w14:textId="635C822E" w:rsidR="00184B6A" w:rsidRDefault="00184B6A" w:rsidP="0042455F">
            <w:pPr>
              <w:pStyle w:val="Rodap"/>
              <w:spacing w:before="0"/>
              <w:jc w:val="center"/>
              <w:rPr>
                <w:rFonts w:asciiTheme="minorHAnsi" w:hAnsiTheme="minorHAnsi" w:cstheme="minorHAnsi"/>
                <w:b/>
                <w:sz w:val="16"/>
                <w:szCs w:val="16"/>
              </w:rPr>
            </w:pPr>
          </w:p>
          <w:p w14:paraId="6EFAFAF2" w14:textId="77777777" w:rsidR="00184B6A" w:rsidRPr="00A92A3E" w:rsidRDefault="00184B6A" w:rsidP="0042455F">
            <w:pPr>
              <w:pStyle w:val="Rodap"/>
              <w:spacing w:before="0"/>
              <w:jc w:val="center"/>
              <w:rPr>
                <w:rFonts w:asciiTheme="minorHAnsi" w:hAnsiTheme="minorHAnsi" w:cstheme="minorHAnsi"/>
                <w:b/>
                <w:sz w:val="16"/>
                <w:szCs w:val="16"/>
              </w:rPr>
            </w:pPr>
          </w:p>
          <w:p w14:paraId="5B335907" w14:textId="2B0EB600" w:rsidR="00584343" w:rsidRPr="00A92A3E" w:rsidRDefault="00546B47" w:rsidP="00F345CA">
            <w:pPr>
              <w:pStyle w:val="Rodap"/>
              <w:spacing w:before="0"/>
              <w:jc w:val="center"/>
              <w:rPr>
                <w:rFonts w:asciiTheme="minorHAnsi" w:hAnsiTheme="minorHAnsi" w:cstheme="minorHAnsi"/>
                <w:sz w:val="16"/>
                <w:szCs w:val="16"/>
              </w:rPr>
            </w:pPr>
            <w:r w:rsidRPr="00184B6A">
              <w:rPr>
                <w:rFonts w:asciiTheme="minorHAnsi" w:hAnsiTheme="minorHAnsi" w:cstheme="minorHAnsi"/>
                <w:sz w:val="16"/>
                <w:szCs w:val="16"/>
              </w:rPr>
              <w:t>DATA</w:t>
            </w:r>
            <w:r w:rsidR="00F345CA">
              <w:rPr>
                <w:rFonts w:asciiTheme="minorHAnsi" w:hAnsiTheme="minorHAnsi" w:cstheme="minorHAnsi"/>
                <w:sz w:val="16"/>
                <w:szCs w:val="16"/>
              </w:rPr>
              <w:t>:</w:t>
            </w:r>
            <w:bookmarkStart w:id="0" w:name="_GoBack"/>
            <w:bookmarkEnd w:id="0"/>
            <w:r w:rsidRPr="00184B6A">
              <w:rPr>
                <w:rFonts w:asciiTheme="minorHAnsi" w:hAnsiTheme="minorHAnsi" w:cstheme="minorHAnsi"/>
                <w:sz w:val="16"/>
                <w:szCs w:val="16"/>
              </w:rPr>
              <w:t xml:space="preserve"> </w:t>
            </w:r>
            <w:r w:rsidR="00F345CA">
              <w:rPr>
                <w:rFonts w:asciiTheme="minorHAnsi" w:hAnsiTheme="minorHAnsi" w:cstheme="minorHAnsi"/>
                <w:sz w:val="16"/>
                <w:szCs w:val="16"/>
              </w:rPr>
              <w:t>14/12/2023</w:t>
            </w:r>
          </w:p>
        </w:tc>
      </w:tr>
      <w:tr w:rsidR="00584343" w:rsidRPr="00A92A3E" w14:paraId="496588FF" w14:textId="77777777" w:rsidTr="00A92A3E">
        <w:trPr>
          <w:trHeight w:val="20"/>
        </w:trPr>
        <w:tc>
          <w:tcPr>
            <w:tcW w:w="2500" w:type="pct"/>
            <w:vAlign w:val="center"/>
          </w:tcPr>
          <w:p w14:paraId="6E1AA4B0" w14:textId="489BC119" w:rsidR="00584343" w:rsidRPr="00A92A3E" w:rsidRDefault="00584343" w:rsidP="0042455F">
            <w:pPr>
              <w:pStyle w:val="Rodap"/>
              <w:spacing w:before="0"/>
              <w:jc w:val="center"/>
              <w:rPr>
                <w:rFonts w:asciiTheme="minorHAnsi" w:hAnsiTheme="minorHAnsi" w:cstheme="minorHAnsi"/>
                <w:i/>
                <w:sz w:val="16"/>
                <w:szCs w:val="16"/>
              </w:rPr>
            </w:pPr>
            <w:r w:rsidRPr="00A92A3E">
              <w:rPr>
                <w:rFonts w:asciiTheme="minorHAnsi" w:hAnsiTheme="minorHAnsi" w:cstheme="minorHAnsi"/>
                <w:b/>
                <w:sz w:val="16"/>
                <w:szCs w:val="16"/>
              </w:rPr>
              <w:t>Elaboração:</w:t>
            </w:r>
            <w:r w:rsidRPr="00A92A3E">
              <w:rPr>
                <w:rFonts w:asciiTheme="minorHAnsi" w:hAnsiTheme="minorHAnsi" w:cstheme="minorHAnsi"/>
                <w:sz w:val="16"/>
                <w:szCs w:val="16"/>
              </w:rPr>
              <w:t xml:space="preserve"> </w:t>
            </w:r>
            <w:r w:rsidR="00D13A09" w:rsidRPr="00A92A3E">
              <w:rPr>
                <w:rFonts w:asciiTheme="minorHAnsi" w:hAnsiTheme="minorHAnsi" w:cstheme="minorHAnsi"/>
                <w:sz w:val="16"/>
                <w:szCs w:val="16"/>
              </w:rPr>
              <w:t xml:space="preserve">Gestor dos Recursos e </w:t>
            </w:r>
            <w:r w:rsidRPr="00A92A3E">
              <w:rPr>
                <w:rFonts w:asciiTheme="minorHAnsi" w:hAnsiTheme="minorHAnsi" w:cstheme="minorHAnsi"/>
                <w:sz w:val="16"/>
                <w:szCs w:val="16"/>
              </w:rPr>
              <w:t>Comitê de Investimentos</w:t>
            </w:r>
          </w:p>
        </w:tc>
        <w:tc>
          <w:tcPr>
            <w:tcW w:w="2500" w:type="pct"/>
            <w:gridSpan w:val="2"/>
            <w:vAlign w:val="center"/>
          </w:tcPr>
          <w:p w14:paraId="0F2CEBFA" w14:textId="77777777" w:rsidR="00584343" w:rsidRPr="00A92A3E" w:rsidRDefault="00584343" w:rsidP="0042455F">
            <w:pPr>
              <w:pStyle w:val="Rodap"/>
              <w:spacing w:before="0"/>
              <w:jc w:val="center"/>
              <w:rPr>
                <w:rFonts w:asciiTheme="minorHAnsi" w:hAnsiTheme="minorHAnsi" w:cstheme="minorHAnsi"/>
                <w:sz w:val="16"/>
                <w:szCs w:val="16"/>
              </w:rPr>
            </w:pPr>
            <w:r w:rsidRPr="00A92A3E">
              <w:rPr>
                <w:rFonts w:asciiTheme="minorHAnsi" w:hAnsiTheme="minorHAnsi" w:cstheme="minorHAnsi"/>
                <w:b/>
                <w:sz w:val="16"/>
                <w:szCs w:val="16"/>
              </w:rPr>
              <w:t>Aprovação:</w:t>
            </w:r>
            <w:r w:rsidRPr="00A92A3E">
              <w:rPr>
                <w:rFonts w:asciiTheme="minorHAnsi" w:hAnsiTheme="minorHAnsi" w:cstheme="minorHAnsi"/>
                <w:sz w:val="16"/>
                <w:szCs w:val="16"/>
              </w:rPr>
              <w:t xml:space="preserve"> Conselho Deliberativo</w:t>
            </w:r>
          </w:p>
        </w:tc>
      </w:tr>
      <w:tr w:rsidR="00A92A3E" w:rsidRPr="00A92A3E" w14:paraId="515383A0" w14:textId="77777777" w:rsidTr="00A92A3E">
        <w:trPr>
          <w:trHeight w:val="20"/>
        </w:trPr>
        <w:tc>
          <w:tcPr>
            <w:tcW w:w="2500" w:type="pct"/>
            <w:vAlign w:val="center"/>
          </w:tcPr>
          <w:p w14:paraId="31917059" w14:textId="77777777" w:rsidR="00A92A3E" w:rsidRDefault="00A92A3E" w:rsidP="0042455F">
            <w:pPr>
              <w:pStyle w:val="Rodap"/>
              <w:spacing w:before="0"/>
              <w:jc w:val="center"/>
              <w:rPr>
                <w:rFonts w:asciiTheme="minorHAnsi" w:hAnsiTheme="minorHAnsi" w:cstheme="minorHAnsi"/>
                <w:b/>
                <w:sz w:val="16"/>
                <w:szCs w:val="16"/>
              </w:rPr>
            </w:pPr>
          </w:p>
          <w:p w14:paraId="2EFCE7A9" w14:textId="77777777" w:rsidR="00A92A3E" w:rsidRDefault="00A92A3E" w:rsidP="0042455F">
            <w:pPr>
              <w:pStyle w:val="Rodap"/>
              <w:spacing w:before="0"/>
              <w:jc w:val="center"/>
              <w:rPr>
                <w:rFonts w:asciiTheme="minorHAnsi" w:hAnsiTheme="minorHAnsi" w:cstheme="minorHAnsi"/>
                <w:b/>
                <w:sz w:val="16"/>
                <w:szCs w:val="16"/>
              </w:rPr>
            </w:pPr>
          </w:p>
          <w:p w14:paraId="163A4D6C" w14:textId="77777777" w:rsidR="00A92A3E" w:rsidRDefault="00A92A3E" w:rsidP="0042455F">
            <w:pPr>
              <w:pStyle w:val="Rodap"/>
              <w:spacing w:before="0"/>
              <w:jc w:val="center"/>
              <w:rPr>
                <w:rFonts w:asciiTheme="minorHAnsi" w:hAnsiTheme="minorHAnsi" w:cstheme="minorHAnsi"/>
                <w:b/>
                <w:sz w:val="16"/>
                <w:szCs w:val="16"/>
              </w:rPr>
            </w:pPr>
          </w:p>
          <w:p w14:paraId="43B328D2" w14:textId="375014CA" w:rsidR="00A92A3E" w:rsidRPr="00A92A3E" w:rsidRDefault="00A92A3E" w:rsidP="0042455F">
            <w:pPr>
              <w:pStyle w:val="Rodap"/>
              <w:spacing w:before="0"/>
              <w:jc w:val="center"/>
              <w:rPr>
                <w:rFonts w:asciiTheme="minorHAnsi" w:hAnsiTheme="minorHAnsi" w:cstheme="minorHAnsi"/>
                <w:b/>
                <w:sz w:val="16"/>
                <w:szCs w:val="16"/>
              </w:rPr>
            </w:pPr>
          </w:p>
        </w:tc>
        <w:tc>
          <w:tcPr>
            <w:tcW w:w="2500" w:type="pct"/>
            <w:gridSpan w:val="2"/>
            <w:vAlign w:val="center"/>
          </w:tcPr>
          <w:p w14:paraId="4B31D209" w14:textId="77777777" w:rsidR="00A92A3E" w:rsidRPr="00A92A3E" w:rsidRDefault="00A92A3E" w:rsidP="0042455F">
            <w:pPr>
              <w:pStyle w:val="Rodap"/>
              <w:spacing w:before="0"/>
              <w:jc w:val="center"/>
              <w:rPr>
                <w:rFonts w:asciiTheme="minorHAnsi" w:hAnsiTheme="minorHAnsi" w:cstheme="minorHAnsi"/>
                <w:b/>
                <w:sz w:val="16"/>
                <w:szCs w:val="16"/>
              </w:rPr>
            </w:pPr>
          </w:p>
        </w:tc>
      </w:tr>
    </w:tbl>
    <w:p w14:paraId="518113D4" w14:textId="66825F2E" w:rsidR="006711AC" w:rsidRDefault="006711AC" w:rsidP="00694B08">
      <w:pPr>
        <w:pStyle w:val="Ttulo1"/>
        <w:numPr>
          <w:ilvl w:val="0"/>
          <w:numId w:val="0"/>
        </w:numPr>
        <w:jc w:val="center"/>
      </w:pPr>
      <w:r w:rsidRPr="00694B08">
        <w:rPr>
          <w:rFonts w:asciiTheme="minorHAnsi" w:hAnsiTheme="minorHAnsi" w:cstheme="minorHAnsi"/>
          <w:sz w:val="16"/>
          <w:szCs w:val="16"/>
        </w:rPr>
        <w:lastRenderedPageBreak/>
        <w:t>SUMÁRIO</w:t>
      </w:r>
    </w:p>
    <w:p w14:paraId="5ED37527" w14:textId="49334905" w:rsidR="008C0E2A" w:rsidRDefault="00B94966">
      <w:pPr>
        <w:pStyle w:val="Sumrio1"/>
        <w:tabs>
          <w:tab w:val="left" w:pos="400"/>
          <w:tab w:val="right" w:leader="dot" w:pos="8494"/>
        </w:tabs>
        <w:rPr>
          <w:rFonts w:asciiTheme="minorHAnsi" w:eastAsiaTheme="minorEastAsia" w:hAnsiTheme="minorHAnsi"/>
          <w:noProof/>
          <w:color w:val="auto"/>
          <w:lang w:eastAsia="pt-BR"/>
        </w:rPr>
      </w:pPr>
      <w:r w:rsidRPr="00A92A3E">
        <w:rPr>
          <w:rFonts w:asciiTheme="minorHAnsi" w:hAnsiTheme="minorHAnsi" w:cstheme="minorHAnsi"/>
          <w:sz w:val="16"/>
          <w:szCs w:val="16"/>
        </w:rPr>
        <w:fldChar w:fldCharType="begin"/>
      </w:r>
      <w:r w:rsidRPr="00A92A3E">
        <w:rPr>
          <w:rFonts w:asciiTheme="minorHAnsi" w:hAnsiTheme="minorHAnsi" w:cstheme="minorHAnsi"/>
          <w:sz w:val="16"/>
          <w:szCs w:val="16"/>
        </w:rPr>
        <w:instrText xml:space="preserve"> TOC \o "1-1" \h \z \u </w:instrText>
      </w:r>
      <w:r w:rsidRPr="00A92A3E">
        <w:rPr>
          <w:rFonts w:asciiTheme="minorHAnsi" w:hAnsiTheme="minorHAnsi" w:cstheme="minorHAnsi"/>
          <w:sz w:val="16"/>
          <w:szCs w:val="16"/>
        </w:rPr>
        <w:fldChar w:fldCharType="separate"/>
      </w:r>
      <w:hyperlink w:anchor="_Toc150330286" w:history="1">
        <w:r w:rsidR="008C0E2A" w:rsidRPr="000B5761">
          <w:rPr>
            <w:rStyle w:val="Hyperlink"/>
            <w:rFonts w:cstheme="minorHAnsi"/>
            <w:noProof/>
          </w:rPr>
          <w:t>1.</w:t>
        </w:r>
        <w:r w:rsidR="008C0E2A">
          <w:rPr>
            <w:rFonts w:asciiTheme="minorHAnsi" w:eastAsiaTheme="minorEastAsia" w:hAnsiTheme="minorHAnsi"/>
            <w:noProof/>
            <w:color w:val="auto"/>
            <w:lang w:eastAsia="pt-BR"/>
          </w:rPr>
          <w:tab/>
        </w:r>
        <w:r w:rsidR="008C0E2A" w:rsidRPr="000B5761">
          <w:rPr>
            <w:rStyle w:val="Hyperlink"/>
            <w:rFonts w:cstheme="minorHAnsi"/>
            <w:noProof/>
          </w:rPr>
          <w:t>INTRODUÇÃO</w:t>
        </w:r>
        <w:r w:rsidR="008C0E2A">
          <w:rPr>
            <w:noProof/>
            <w:webHidden/>
          </w:rPr>
          <w:tab/>
        </w:r>
        <w:r w:rsidR="008C0E2A">
          <w:rPr>
            <w:noProof/>
            <w:webHidden/>
          </w:rPr>
          <w:fldChar w:fldCharType="begin"/>
        </w:r>
        <w:r w:rsidR="008C0E2A">
          <w:rPr>
            <w:noProof/>
            <w:webHidden/>
          </w:rPr>
          <w:instrText xml:space="preserve"> PAGEREF _Toc150330286 \h </w:instrText>
        </w:r>
        <w:r w:rsidR="008C0E2A">
          <w:rPr>
            <w:noProof/>
            <w:webHidden/>
          </w:rPr>
        </w:r>
        <w:r w:rsidR="008C0E2A">
          <w:rPr>
            <w:noProof/>
            <w:webHidden/>
          </w:rPr>
          <w:fldChar w:fldCharType="separate"/>
        </w:r>
        <w:r w:rsidR="008C0E2A">
          <w:rPr>
            <w:noProof/>
            <w:webHidden/>
          </w:rPr>
          <w:t>2</w:t>
        </w:r>
        <w:r w:rsidR="008C0E2A">
          <w:rPr>
            <w:noProof/>
            <w:webHidden/>
          </w:rPr>
          <w:fldChar w:fldCharType="end"/>
        </w:r>
      </w:hyperlink>
    </w:p>
    <w:p w14:paraId="714238C6" w14:textId="77777777" w:rsidR="008C0E2A" w:rsidRDefault="00F345CA">
      <w:pPr>
        <w:pStyle w:val="Sumrio1"/>
        <w:tabs>
          <w:tab w:val="left" w:pos="400"/>
          <w:tab w:val="right" w:leader="dot" w:pos="8494"/>
        </w:tabs>
        <w:rPr>
          <w:rFonts w:asciiTheme="minorHAnsi" w:eastAsiaTheme="minorEastAsia" w:hAnsiTheme="minorHAnsi"/>
          <w:noProof/>
          <w:color w:val="auto"/>
          <w:lang w:eastAsia="pt-BR"/>
        </w:rPr>
      </w:pPr>
      <w:hyperlink w:anchor="_Toc150330287" w:history="1">
        <w:r w:rsidR="008C0E2A" w:rsidRPr="000B5761">
          <w:rPr>
            <w:rStyle w:val="Hyperlink"/>
            <w:rFonts w:cstheme="minorHAnsi"/>
            <w:noProof/>
          </w:rPr>
          <w:t>2.</w:t>
        </w:r>
        <w:r w:rsidR="008C0E2A">
          <w:rPr>
            <w:rFonts w:asciiTheme="minorHAnsi" w:eastAsiaTheme="minorEastAsia" w:hAnsiTheme="minorHAnsi"/>
            <w:noProof/>
            <w:color w:val="auto"/>
            <w:lang w:eastAsia="pt-BR"/>
          </w:rPr>
          <w:tab/>
        </w:r>
        <w:r w:rsidR="008C0E2A" w:rsidRPr="000B5761">
          <w:rPr>
            <w:rStyle w:val="Hyperlink"/>
            <w:rFonts w:cstheme="minorHAnsi"/>
            <w:noProof/>
          </w:rPr>
          <w:t>OBJETIVO</w:t>
        </w:r>
        <w:r w:rsidR="008C0E2A">
          <w:rPr>
            <w:noProof/>
            <w:webHidden/>
          </w:rPr>
          <w:tab/>
        </w:r>
        <w:r w:rsidR="008C0E2A">
          <w:rPr>
            <w:noProof/>
            <w:webHidden/>
          </w:rPr>
          <w:fldChar w:fldCharType="begin"/>
        </w:r>
        <w:r w:rsidR="008C0E2A">
          <w:rPr>
            <w:noProof/>
            <w:webHidden/>
          </w:rPr>
          <w:instrText xml:space="preserve"> PAGEREF _Toc150330287 \h </w:instrText>
        </w:r>
        <w:r w:rsidR="008C0E2A">
          <w:rPr>
            <w:noProof/>
            <w:webHidden/>
          </w:rPr>
        </w:r>
        <w:r w:rsidR="008C0E2A">
          <w:rPr>
            <w:noProof/>
            <w:webHidden/>
          </w:rPr>
          <w:fldChar w:fldCharType="separate"/>
        </w:r>
        <w:r w:rsidR="008C0E2A">
          <w:rPr>
            <w:noProof/>
            <w:webHidden/>
          </w:rPr>
          <w:t>2</w:t>
        </w:r>
        <w:r w:rsidR="008C0E2A">
          <w:rPr>
            <w:noProof/>
            <w:webHidden/>
          </w:rPr>
          <w:fldChar w:fldCharType="end"/>
        </w:r>
      </w:hyperlink>
    </w:p>
    <w:p w14:paraId="1488FB71" w14:textId="77777777" w:rsidR="008C0E2A" w:rsidRDefault="00F345CA">
      <w:pPr>
        <w:pStyle w:val="Sumrio1"/>
        <w:tabs>
          <w:tab w:val="left" w:pos="400"/>
          <w:tab w:val="right" w:leader="dot" w:pos="8494"/>
        </w:tabs>
        <w:rPr>
          <w:rFonts w:asciiTheme="minorHAnsi" w:eastAsiaTheme="minorEastAsia" w:hAnsiTheme="minorHAnsi"/>
          <w:noProof/>
          <w:color w:val="auto"/>
          <w:lang w:eastAsia="pt-BR"/>
        </w:rPr>
      </w:pPr>
      <w:hyperlink w:anchor="_Toc150330288" w:history="1">
        <w:r w:rsidR="008C0E2A" w:rsidRPr="000B5761">
          <w:rPr>
            <w:rStyle w:val="Hyperlink"/>
            <w:rFonts w:cstheme="minorHAnsi"/>
            <w:noProof/>
          </w:rPr>
          <w:t>3.</w:t>
        </w:r>
        <w:r w:rsidR="008C0E2A">
          <w:rPr>
            <w:rFonts w:asciiTheme="minorHAnsi" w:eastAsiaTheme="minorEastAsia" w:hAnsiTheme="minorHAnsi"/>
            <w:noProof/>
            <w:color w:val="auto"/>
            <w:lang w:eastAsia="pt-BR"/>
          </w:rPr>
          <w:tab/>
        </w:r>
        <w:r w:rsidR="008C0E2A" w:rsidRPr="000B5761">
          <w:rPr>
            <w:rStyle w:val="Hyperlink"/>
            <w:rFonts w:cstheme="minorHAnsi"/>
            <w:noProof/>
          </w:rPr>
          <w:t>CATEGORIZAÇÃO DO RPPS</w:t>
        </w:r>
        <w:r w:rsidR="008C0E2A">
          <w:rPr>
            <w:noProof/>
            <w:webHidden/>
          </w:rPr>
          <w:tab/>
        </w:r>
        <w:r w:rsidR="008C0E2A">
          <w:rPr>
            <w:noProof/>
            <w:webHidden/>
          </w:rPr>
          <w:fldChar w:fldCharType="begin"/>
        </w:r>
        <w:r w:rsidR="008C0E2A">
          <w:rPr>
            <w:noProof/>
            <w:webHidden/>
          </w:rPr>
          <w:instrText xml:space="preserve"> PAGEREF _Toc150330288 \h </w:instrText>
        </w:r>
        <w:r w:rsidR="008C0E2A">
          <w:rPr>
            <w:noProof/>
            <w:webHidden/>
          </w:rPr>
        </w:r>
        <w:r w:rsidR="008C0E2A">
          <w:rPr>
            <w:noProof/>
            <w:webHidden/>
          </w:rPr>
          <w:fldChar w:fldCharType="separate"/>
        </w:r>
        <w:r w:rsidR="008C0E2A">
          <w:rPr>
            <w:noProof/>
            <w:webHidden/>
          </w:rPr>
          <w:t>2</w:t>
        </w:r>
        <w:r w:rsidR="008C0E2A">
          <w:rPr>
            <w:noProof/>
            <w:webHidden/>
          </w:rPr>
          <w:fldChar w:fldCharType="end"/>
        </w:r>
      </w:hyperlink>
    </w:p>
    <w:p w14:paraId="6622ED19" w14:textId="77777777" w:rsidR="008C0E2A" w:rsidRDefault="00F345CA">
      <w:pPr>
        <w:pStyle w:val="Sumrio1"/>
        <w:tabs>
          <w:tab w:val="left" w:pos="400"/>
          <w:tab w:val="right" w:leader="dot" w:pos="8494"/>
        </w:tabs>
        <w:rPr>
          <w:rFonts w:asciiTheme="minorHAnsi" w:eastAsiaTheme="minorEastAsia" w:hAnsiTheme="minorHAnsi"/>
          <w:noProof/>
          <w:color w:val="auto"/>
          <w:lang w:eastAsia="pt-BR"/>
        </w:rPr>
      </w:pPr>
      <w:hyperlink w:anchor="_Toc150330289" w:history="1">
        <w:r w:rsidR="008C0E2A" w:rsidRPr="000B5761">
          <w:rPr>
            <w:rStyle w:val="Hyperlink"/>
            <w:rFonts w:cstheme="minorHAnsi"/>
            <w:noProof/>
          </w:rPr>
          <w:t>4.</w:t>
        </w:r>
        <w:r w:rsidR="008C0E2A">
          <w:rPr>
            <w:rFonts w:asciiTheme="minorHAnsi" w:eastAsiaTheme="minorEastAsia" w:hAnsiTheme="minorHAnsi"/>
            <w:noProof/>
            <w:color w:val="auto"/>
            <w:lang w:eastAsia="pt-BR"/>
          </w:rPr>
          <w:tab/>
        </w:r>
        <w:r w:rsidR="008C0E2A" w:rsidRPr="000B5761">
          <w:rPr>
            <w:rStyle w:val="Hyperlink"/>
            <w:rFonts w:cstheme="minorHAnsi"/>
            <w:noProof/>
          </w:rPr>
          <w:t>ESTRUTURA DE GESTÃO</w:t>
        </w:r>
        <w:r w:rsidR="008C0E2A">
          <w:rPr>
            <w:noProof/>
            <w:webHidden/>
          </w:rPr>
          <w:tab/>
        </w:r>
        <w:r w:rsidR="008C0E2A">
          <w:rPr>
            <w:noProof/>
            <w:webHidden/>
          </w:rPr>
          <w:fldChar w:fldCharType="begin"/>
        </w:r>
        <w:r w:rsidR="008C0E2A">
          <w:rPr>
            <w:noProof/>
            <w:webHidden/>
          </w:rPr>
          <w:instrText xml:space="preserve"> PAGEREF _Toc150330289 \h </w:instrText>
        </w:r>
        <w:r w:rsidR="008C0E2A">
          <w:rPr>
            <w:noProof/>
            <w:webHidden/>
          </w:rPr>
        </w:r>
        <w:r w:rsidR="008C0E2A">
          <w:rPr>
            <w:noProof/>
            <w:webHidden/>
          </w:rPr>
          <w:fldChar w:fldCharType="separate"/>
        </w:r>
        <w:r w:rsidR="008C0E2A">
          <w:rPr>
            <w:noProof/>
            <w:webHidden/>
          </w:rPr>
          <w:t>3</w:t>
        </w:r>
        <w:r w:rsidR="008C0E2A">
          <w:rPr>
            <w:noProof/>
            <w:webHidden/>
          </w:rPr>
          <w:fldChar w:fldCharType="end"/>
        </w:r>
      </w:hyperlink>
    </w:p>
    <w:p w14:paraId="64EECA1F" w14:textId="77777777" w:rsidR="008C0E2A" w:rsidRDefault="00F345CA">
      <w:pPr>
        <w:pStyle w:val="Sumrio1"/>
        <w:tabs>
          <w:tab w:val="left" w:pos="400"/>
          <w:tab w:val="right" w:leader="dot" w:pos="8494"/>
        </w:tabs>
        <w:rPr>
          <w:rFonts w:asciiTheme="minorHAnsi" w:eastAsiaTheme="minorEastAsia" w:hAnsiTheme="minorHAnsi"/>
          <w:noProof/>
          <w:color w:val="auto"/>
          <w:lang w:eastAsia="pt-BR"/>
        </w:rPr>
      </w:pPr>
      <w:hyperlink w:anchor="_Toc150330290" w:history="1">
        <w:r w:rsidR="008C0E2A" w:rsidRPr="000B5761">
          <w:rPr>
            <w:rStyle w:val="Hyperlink"/>
            <w:rFonts w:cstheme="minorHAnsi"/>
            <w:noProof/>
          </w:rPr>
          <w:t>5.</w:t>
        </w:r>
        <w:r w:rsidR="008C0E2A">
          <w:rPr>
            <w:rFonts w:asciiTheme="minorHAnsi" w:eastAsiaTheme="minorEastAsia" w:hAnsiTheme="minorHAnsi"/>
            <w:noProof/>
            <w:color w:val="auto"/>
            <w:lang w:eastAsia="pt-BR"/>
          </w:rPr>
          <w:tab/>
        </w:r>
        <w:r w:rsidR="008C0E2A" w:rsidRPr="000B5761">
          <w:rPr>
            <w:rStyle w:val="Hyperlink"/>
            <w:rFonts w:cstheme="minorHAnsi"/>
            <w:noProof/>
          </w:rPr>
          <w:t>META DE RENTABILIDADE</w:t>
        </w:r>
        <w:r w:rsidR="008C0E2A">
          <w:rPr>
            <w:noProof/>
            <w:webHidden/>
          </w:rPr>
          <w:tab/>
        </w:r>
        <w:r w:rsidR="008C0E2A">
          <w:rPr>
            <w:noProof/>
            <w:webHidden/>
          </w:rPr>
          <w:fldChar w:fldCharType="begin"/>
        </w:r>
        <w:r w:rsidR="008C0E2A">
          <w:rPr>
            <w:noProof/>
            <w:webHidden/>
          </w:rPr>
          <w:instrText xml:space="preserve"> PAGEREF _Toc150330290 \h </w:instrText>
        </w:r>
        <w:r w:rsidR="008C0E2A">
          <w:rPr>
            <w:noProof/>
            <w:webHidden/>
          </w:rPr>
        </w:r>
        <w:r w:rsidR="008C0E2A">
          <w:rPr>
            <w:noProof/>
            <w:webHidden/>
          </w:rPr>
          <w:fldChar w:fldCharType="separate"/>
        </w:r>
        <w:r w:rsidR="008C0E2A">
          <w:rPr>
            <w:noProof/>
            <w:webHidden/>
          </w:rPr>
          <w:t>6</w:t>
        </w:r>
        <w:r w:rsidR="008C0E2A">
          <w:rPr>
            <w:noProof/>
            <w:webHidden/>
          </w:rPr>
          <w:fldChar w:fldCharType="end"/>
        </w:r>
      </w:hyperlink>
    </w:p>
    <w:p w14:paraId="37CCF2A3" w14:textId="77777777" w:rsidR="008C0E2A" w:rsidRDefault="00F345CA">
      <w:pPr>
        <w:pStyle w:val="Sumrio1"/>
        <w:tabs>
          <w:tab w:val="left" w:pos="400"/>
          <w:tab w:val="right" w:leader="dot" w:pos="8494"/>
        </w:tabs>
        <w:rPr>
          <w:rFonts w:asciiTheme="minorHAnsi" w:eastAsiaTheme="minorEastAsia" w:hAnsiTheme="minorHAnsi"/>
          <w:noProof/>
          <w:color w:val="auto"/>
          <w:lang w:eastAsia="pt-BR"/>
        </w:rPr>
      </w:pPr>
      <w:hyperlink w:anchor="_Toc150330291" w:history="1">
        <w:r w:rsidR="008C0E2A" w:rsidRPr="000B5761">
          <w:rPr>
            <w:rStyle w:val="Hyperlink"/>
            <w:rFonts w:cstheme="minorHAnsi"/>
            <w:noProof/>
          </w:rPr>
          <w:t>6.</w:t>
        </w:r>
        <w:r w:rsidR="008C0E2A">
          <w:rPr>
            <w:rFonts w:asciiTheme="minorHAnsi" w:eastAsiaTheme="minorEastAsia" w:hAnsiTheme="minorHAnsi"/>
            <w:noProof/>
            <w:color w:val="auto"/>
            <w:lang w:eastAsia="pt-BR"/>
          </w:rPr>
          <w:tab/>
        </w:r>
        <w:r w:rsidR="008C0E2A" w:rsidRPr="000B5761">
          <w:rPr>
            <w:rStyle w:val="Hyperlink"/>
            <w:rFonts w:cstheme="minorHAnsi"/>
            <w:noProof/>
          </w:rPr>
          <w:t>CENÁRIO ECONÔMICO</w:t>
        </w:r>
        <w:r w:rsidR="008C0E2A">
          <w:rPr>
            <w:noProof/>
            <w:webHidden/>
          </w:rPr>
          <w:tab/>
        </w:r>
        <w:r w:rsidR="008C0E2A">
          <w:rPr>
            <w:noProof/>
            <w:webHidden/>
          </w:rPr>
          <w:fldChar w:fldCharType="begin"/>
        </w:r>
        <w:r w:rsidR="008C0E2A">
          <w:rPr>
            <w:noProof/>
            <w:webHidden/>
          </w:rPr>
          <w:instrText xml:space="preserve"> PAGEREF _Toc150330291 \h </w:instrText>
        </w:r>
        <w:r w:rsidR="008C0E2A">
          <w:rPr>
            <w:noProof/>
            <w:webHidden/>
          </w:rPr>
        </w:r>
        <w:r w:rsidR="008C0E2A">
          <w:rPr>
            <w:noProof/>
            <w:webHidden/>
          </w:rPr>
          <w:fldChar w:fldCharType="separate"/>
        </w:r>
        <w:r w:rsidR="008C0E2A">
          <w:rPr>
            <w:noProof/>
            <w:webHidden/>
          </w:rPr>
          <w:t>6</w:t>
        </w:r>
        <w:r w:rsidR="008C0E2A">
          <w:rPr>
            <w:noProof/>
            <w:webHidden/>
          </w:rPr>
          <w:fldChar w:fldCharType="end"/>
        </w:r>
      </w:hyperlink>
    </w:p>
    <w:p w14:paraId="4C8515DB" w14:textId="77777777" w:rsidR="008C0E2A" w:rsidRDefault="00F345CA">
      <w:pPr>
        <w:pStyle w:val="Sumrio1"/>
        <w:tabs>
          <w:tab w:val="right" w:leader="dot" w:pos="8494"/>
        </w:tabs>
        <w:rPr>
          <w:rFonts w:asciiTheme="minorHAnsi" w:eastAsiaTheme="minorEastAsia" w:hAnsiTheme="minorHAnsi"/>
          <w:noProof/>
          <w:color w:val="auto"/>
          <w:lang w:eastAsia="pt-BR"/>
        </w:rPr>
      </w:pPr>
      <w:hyperlink w:anchor="_Toc150330292" w:history="1">
        <w:r w:rsidR="008C0E2A" w:rsidRPr="000B5761">
          <w:rPr>
            <w:rStyle w:val="Hyperlink"/>
            <w:rFonts w:cstheme="minorHAnsi"/>
            <w:noProof/>
          </w:rPr>
          <w:t>INTERNACIONAL</w:t>
        </w:r>
        <w:r w:rsidR="008C0E2A">
          <w:rPr>
            <w:noProof/>
            <w:webHidden/>
          </w:rPr>
          <w:tab/>
        </w:r>
        <w:r w:rsidR="008C0E2A">
          <w:rPr>
            <w:noProof/>
            <w:webHidden/>
          </w:rPr>
          <w:fldChar w:fldCharType="begin"/>
        </w:r>
        <w:r w:rsidR="008C0E2A">
          <w:rPr>
            <w:noProof/>
            <w:webHidden/>
          </w:rPr>
          <w:instrText xml:space="preserve"> PAGEREF _Toc150330292 \h </w:instrText>
        </w:r>
        <w:r w:rsidR="008C0E2A">
          <w:rPr>
            <w:noProof/>
            <w:webHidden/>
          </w:rPr>
        </w:r>
        <w:r w:rsidR="008C0E2A">
          <w:rPr>
            <w:noProof/>
            <w:webHidden/>
          </w:rPr>
          <w:fldChar w:fldCharType="separate"/>
        </w:r>
        <w:r w:rsidR="008C0E2A">
          <w:rPr>
            <w:noProof/>
            <w:webHidden/>
          </w:rPr>
          <w:t>6</w:t>
        </w:r>
        <w:r w:rsidR="008C0E2A">
          <w:rPr>
            <w:noProof/>
            <w:webHidden/>
          </w:rPr>
          <w:fldChar w:fldCharType="end"/>
        </w:r>
      </w:hyperlink>
    </w:p>
    <w:p w14:paraId="28A446B4" w14:textId="77777777" w:rsidR="008C0E2A" w:rsidRDefault="00F345CA">
      <w:pPr>
        <w:pStyle w:val="Sumrio1"/>
        <w:tabs>
          <w:tab w:val="left" w:pos="400"/>
          <w:tab w:val="right" w:leader="dot" w:pos="8494"/>
        </w:tabs>
        <w:rPr>
          <w:rFonts w:asciiTheme="minorHAnsi" w:eastAsiaTheme="minorEastAsia" w:hAnsiTheme="minorHAnsi"/>
          <w:noProof/>
          <w:color w:val="auto"/>
          <w:lang w:eastAsia="pt-BR"/>
        </w:rPr>
      </w:pPr>
      <w:hyperlink w:anchor="_Toc150330293" w:history="1">
        <w:r w:rsidR="008C0E2A" w:rsidRPr="000B5761">
          <w:rPr>
            <w:rStyle w:val="Hyperlink"/>
            <w:rFonts w:cstheme="minorHAnsi"/>
            <w:noProof/>
          </w:rPr>
          <w:t>7.</w:t>
        </w:r>
        <w:r w:rsidR="008C0E2A">
          <w:rPr>
            <w:rFonts w:asciiTheme="minorHAnsi" w:eastAsiaTheme="minorEastAsia" w:hAnsiTheme="minorHAnsi"/>
            <w:noProof/>
            <w:color w:val="auto"/>
            <w:lang w:eastAsia="pt-BR"/>
          </w:rPr>
          <w:tab/>
        </w:r>
        <w:r w:rsidR="008C0E2A" w:rsidRPr="000B5761">
          <w:rPr>
            <w:rStyle w:val="Hyperlink"/>
            <w:rFonts w:cstheme="minorHAnsi"/>
            <w:noProof/>
          </w:rPr>
          <w:t>ALOCAÇÃO ESTRATÉGICA DOS RECURSOS</w:t>
        </w:r>
        <w:r w:rsidR="008C0E2A">
          <w:rPr>
            <w:noProof/>
            <w:webHidden/>
          </w:rPr>
          <w:tab/>
        </w:r>
        <w:r w:rsidR="008C0E2A">
          <w:rPr>
            <w:noProof/>
            <w:webHidden/>
          </w:rPr>
          <w:fldChar w:fldCharType="begin"/>
        </w:r>
        <w:r w:rsidR="008C0E2A">
          <w:rPr>
            <w:noProof/>
            <w:webHidden/>
          </w:rPr>
          <w:instrText xml:space="preserve"> PAGEREF _Toc150330293 \h </w:instrText>
        </w:r>
        <w:r w:rsidR="008C0E2A">
          <w:rPr>
            <w:noProof/>
            <w:webHidden/>
          </w:rPr>
        </w:r>
        <w:r w:rsidR="008C0E2A">
          <w:rPr>
            <w:noProof/>
            <w:webHidden/>
          </w:rPr>
          <w:fldChar w:fldCharType="separate"/>
        </w:r>
        <w:r w:rsidR="008C0E2A">
          <w:rPr>
            <w:noProof/>
            <w:webHidden/>
          </w:rPr>
          <w:t>22</w:t>
        </w:r>
        <w:r w:rsidR="008C0E2A">
          <w:rPr>
            <w:noProof/>
            <w:webHidden/>
          </w:rPr>
          <w:fldChar w:fldCharType="end"/>
        </w:r>
      </w:hyperlink>
    </w:p>
    <w:p w14:paraId="4139408E" w14:textId="77777777" w:rsidR="008C0E2A" w:rsidRDefault="00F345CA">
      <w:pPr>
        <w:pStyle w:val="Sumrio1"/>
        <w:tabs>
          <w:tab w:val="left" w:pos="400"/>
          <w:tab w:val="right" w:leader="dot" w:pos="8494"/>
        </w:tabs>
        <w:rPr>
          <w:rFonts w:asciiTheme="minorHAnsi" w:eastAsiaTheme="minorEastAsia" w:hAnsiTheme="minorHAnsi"/>
          <w:noProof/>
          <w:color w:val="auto"/>
          <w:lang w:eastAsia="pt-BR"/>
        </w:rPr>
      </w:pPr>
      <w:hyperlink w:anchor="_Toc150330294" w:history="1">
        <w:r w:rsidR="008C0E2A" w:rsidRPr="000B5761">
          <w:rPr>
            <w:rStyle w:val="Hyperlink"/>
            <w:rFonts w:cstheme="minorHAnsi"/>
            <w:noProof/>
          </w:rPr>
          <w:t>8.</w:t>
        </w:r>
        <w:r w:rsidR="008C0E2A">
          <w:rPr>
            <w:rFonts w:asciiTheme="minorHAnsi" w:eastAsiaTheme="minorEastAsia" w:hAnsiTheme="minorHAnsi"/>
            <w:noProof/>
            <w:color w:val="auto"/>
            <w:lang w:eastAsia="pt-BR"/>
          </w:rPr>
          <w:tab/>
        </w:r>
        <w:r w:rsidR="008C0E2A" w:rsidRPr="000B5761">
          <w:rPr>
            <w:rStyle w:val="Hyperlink"/>
            <w:rFonts w:cstheme="minorHAnsi"/>
            <w:noProof/>
          </w:rPr>
          <w:t>EMPRÉSTIMO CONSIGNADO</w:t>
        </w:r>
        <w:r w:rsidR="008C0E2A">
          <w:rPr>
            <w:noProof/>
            <w:webHidden/>
          </w:rPr>
          <w:tab/>
        </w:r>
        <w:r w:rsidR="008C0E2A">
          <w:rPr>
            <w:noProof/>
            <w:webHidden/>
          </w:rPr>
          <w:fldChar w:fldCharType="begin"/>
        </w:r>
        <w:r w:rsidR="008C0E2A">
          <w:rPr>
            <w:noProof/>
            <w:webHidden/>
          </w:rPr>
          <w:instrText xml:space="preserve"> PAGEREF _Toc150330294 \h </w:instrText>
        </w:r>
        <w:r w:rsidR="008C0E2A">
          <w:rPr>
            <w:noProof/>
            <w:webHidden/>
          </w:rPr>
        </w:r>
        <w:r w:rsidR="008C0E2A">
          <w:rPr>
            <w:noProof/>
            <w:webHidden/>
          </w:rPr>
          <w:fldChar w:fldCharType="separate"/>
        </w:r>
        <w:r w:rsidR="008C0E2A">
          <w:rPr>
            <w:noProof/>
            <w:webHidden/>
          </w:rPr>
          <w:t>27</w:t>
        </w:r>
        <w:r w:rsidR="008C0E2A">
          <w:rPr>
            <w:noProof/>
            <w:webHidden/>
          </w:rPr>
          <w:fldChar w:fldCharType="end"/>
        </w:r>
      </w:hyperlink>
    </w:p>
    <w:p w14:paraId="4C6E6745" w14:textId="77777777" w:rsidR="008C0E2A" w:rsidRDefault="00F345CA">
      <w:pPr>
        <w:pStyle w:val="Sumrio1"/>
        <w:tabs>
          <w:tab w:val="left" w:pos="400"/>
          <w:tab w:val="right" w:leader="dot" w:pos="8494"/>
        </w:tabs>
        <w:rPr>
          <w:rFonts w:asciiTheme="minorHAnsi" w:eastAsiaTheme="minorEastAsia" w:hAnsiTheme="minorHAnsi"/>
          <w:noProof/>
          <w:color w:val="auto"/>
          <w:lang w:eastAsia="pt-BR"/>
        </w:rPr>
      </w:pPr>
      <w:hyperlink w:anchor="_Toc150330295" w:history="1">
        <w:r w:rsidR="008C0E2A" w:rsidRPr="000B5761">
          <w:rPr>
            <w:rStyle w:val="Hyperlink"/>
            <w:rFonts w:cstheme="minorHAnsi"/>
            <w:noProof/>
          </w:rPr>
          <w:t>9.</w:t>
        </w:r>
        <w:r w:rsidR="008C0E2A">
          <w:rPr>
            <w:rFonts w:asciiTheme="minorHAnsi" w:eastAsiaTheme="minorEastAsia" w:hAnsiTheme="minorHAnsi"/>
            <w:noProof/>
            <w:color w:val="auto"/>
            <w:lang w:eastAsia="pt-BR"/>
          </w:rPr>
          <w:tab/>
        </w:r>
        <w:r w:rsidR="008C0E2A" w:rsidRPr="000B5761">
          <w:rPr>
            <w:rStyle w:val="Hyperlink"/>
            <w:rFonts w:cstheme="minorHAnsi"/>
            <w:noProof/>
          </w:rPr>
          <w:t>CONTROLE DE RISCO</w:t>
        </w:r>
        <w:r w:rsidR="008C0E2A">
          <w:rPr>
            <w:noProof/>
            <w:webHidden/>
          </w:rPr>
          <w:tab/>
        </w:r>
        <w:r w:rsidR="008C0E2A">
          <w:rPr>
            <w:noProof/>
            <w:webHidden/>
          </w:rPr>
          <w:fldChar w:fldCharType="begin"/>
        </w:r>
        <w:r w:rsidR="008C0E2A">
          <w:rPr>
            <w:noProof/>
            <w:webHidden/>
          </w:rPr>
          <w:instrText xml:space="preserve"> PAGEREF _Toc150330295 \h </w:instrText>
        </w:r>
        <w:r w:rsidR="008C0E2A">
          <w:rPr>
            <w:noProof/>
            <w:webHidden/>
          </w:rPr>
        </w:r>
        <w:r w:rsidR="008C0E2A">
          <w:rPr>
            <w:noProof/>
            <w:webHidden/>
          </w:rPr>
          <w:fldChar w:fldCharType="separate"/>
        </w:r>
        <w:r w:rsidR="008C0E2A">
          <w:rPr>
            <w:noProof/>
            <w:webHidden/>
          </w:rPr>
          <w:t>29</w:t>
        </w:r>
        <w:r w:rsidR="008C0E2A">
          <w:rPr>
            <w:noProof/>
            <w:webHidden/>
          </w:rPr>
          <w:fldChar w:fldCharType="end"/>
        </w:r>
      </w:hyperlink>
    </w:p>
    <w:p w14:paraId="427C9A2F" w14:textId="77777777" w:rsidR="008C0E2A" w:rsidRDefault="00F345CA">
      <w:pPr>
        <w:pStyle w:val="Sumrio1"/>
        <w:tabs>
          <w:tab w:val="left" w:pos="660"/>
          <w:tab w:val="right" w:leader="dot" w:pos="8494"/>
        </w:tabs>
        <w:rPr>
          <w:rFonts w:asciiTheme="minorHAnsi" w:eastAsiaTheme="minorEastAsia" w:hAnsiTheme="minorHAnsi"/>
          <w:noProof/>
          <w:color w:val="auto"/>
          <w:lang w:eastAsia="pt-BR"/>
        </w:rPr>
      </w:pPr>
      <w:hyperlink w:anchor="_Toc150330296" w:history="1">
        <w:r w:rsidR="008C0E2A" w:rsidRPr="000B5761">
          <w:rPr>
            <w:rStyle w:val="Hyperlink"/>
            <w:rFonts w:cstheme="minorHAnsi"/>
            <w:noProof/>
          </w:rPr>
          <w:t>10.</w:t>
        </w:r>
        <w:r w:rsidR="008C0E2A">
          <w:rPr>
            <w:rFonts w:asciiTheme="minorHAnsi" w:eastAsiaTheme="minorEastAsia" w:hAnsiTheme="minorHAnsi"/>
            <w:noProof/>
            <w:color w:val="auto"/>
            <w:lang w:eastAsia="pt-BR"/>
          </w:rPr>
          <w:tab/>
        </w:r>
        <w:r w:rsidR="008C0E2A" w:rsidRPr="000B5761">
          <w:rPr>
            <w:rStyle w:val="Hyperlink"/>
            <w:rFonts w:cstheme="minorHAnsi"/>
            <w:noProof/>
          </w:rPr>
          <w:t>ESTUDO DE ALM - ASSET LIABILITY MANAGEMENT</w:t>
        </w:r>
        <w:r w:rsidR="008C0E2A">
          <w:rPr>
            <w:noProof/>
            <w:webHidden/>
          </w:rPr>
          <w:tab/>
        </w:r>
        <w:r w:rsidR="008C0E2A">
          <w:rPr>
            <w:noProof/>
            <w:webHidden/>
          </w:rPr>
          <w:fldChar w:fldCharType="begin"/>
        </w:r>
        <w:r w:rsidR="008C0E2A">
          <w:rPr>
            <w:noProof/>
            <w:webHidden/>
          </w:rPr>
          <w:instrText xml:space="preserve"> PAGEREF _Toc150330296 \h </w:instrText>
        </w:r>
        <w:r w:rsidR="008C0E2A">
          <w:rPr>
            <w:noProof/>
            <w:webHidden/>
          </w:rPr>
        </w:r>
        <w:r w:rsidR="008C0E2A">
          <w:rPr>
            <w:noProof/>
            <w:webHidden/>
          </w:rPr>
          <w:fldChar w:fldCharType="separate"/>
        </w:r>
        <w:r w:rsidR="008C0E2A">
          <w:rPr>
            <w:noProof/>
            <w:webHidden/>
          </w:rPr>
          <w:t>31</w:t>
        </w:r>
        <w:r w:rsidR="008C0E2A">
          <w:rPr>
            <w:noProof/>
            <w:webHidden/>
          </w:rPr>
          <w:fldChar w:fldCharType="end"/>
        </w:r>
      </w:hyperlink>
    </w:p>
    <w:p w14:paraId="4133C7EE" w14:textId="77777777" w:rsidR="008C0E2A" w:rsidRDefault="00F345CA">
      <w:pPr>
        <w:pStyle w:val="Sumrio1"/>
        <w:tabs>
          <w:tab w:val="left" w:pos="660"/>
          <w:tab w:val="right" w:leader="dot" w:pos="8494"/>
        </w:tabs>
        <w:rPr>
          <w:rFonts w:asciiTheme="minorHAnsi" w:eastAsiaTheme="minorEastAsia" w:hAnsiTheme="minorHAnsi"/>
          <w:noProof/>
          <w:color w:val="auto"/>
          <w:lang w:eastAsia="pt-BR"/>
        </w:rPr>
      </w:pPr>
      <w:hyperlink w:anchor="_Toc150330297" w:history="1">
        <w:r w:rsidR="008C0E2A" w:rsidRPr="000B5761">
          <w:rPr>
            <w:rStyle w:val="Hyperlink"/>
            <w:rFonts w:cstheme="minorHAnsi"/>
            <w:noProof/>
          </w:rPr>
          <w:t>11.</w:t>
        </w:r>
        <w:r w:rsidR="008C0E2A">
          <w:rPr>
            <w:rFonts w:asciiTheme="minorHAnsi" w:eastAsiaTheme="minorEastAsia" w:hAnsiTheme="minorHAnsi"/>
            <w:noProof/>
            <w:color w:val="auto"/>
            <w:lang w:eastAsia="pt-BR"/>
          </w:rPr>
          <w:tab/>
        </w:r>
        <w:r w:rsidR="008C0E2A" w:rsidRPr="000B5761">
          <w:rPr>
            <w:rStyle w:val="Hyperlink"/>
            <w:rFonts w:cstheme="minorHAnsi"/>
            <w:noProof/>
          </w:rPr>
          <w:t>EQUILÍBRIO ECONÔMICO E FINANCEIRO</w:t>
        </w:r>
        <w:r w:rsidR="008C0E2A">
          <w:rPr>
            <w:noProof/>
            <w:webHidden/>
          </w:rPr>
          <w:tab/>
        </w:r>
        <w:r w:rsidR="008C0E2A">
          <w:rPr>
            <w:noProof/>
            <w:webHidden/>
          </w:rPr>
          <w:fldChar w:fldCharType="begin"/>
        </w:r>
        <w:r w:rsidR="008C0E2A">
          <w:rPr>
            <w:noProof/>
            <w:webHidden/>
          </w:rPr>
          <w:instrText xml:space="preserve"> PAGEREF _Toc150330297 \h </w:instrText>
        </w:r>
        <w:r w:rsidR="008C0E2A">
          <w:rPr>
            <w:noProof/>
            <w:webHidden/>
          </w:rPr>
        </w:r>
        <w:r w:rsidR="008C0E2A">
          <w:rPr>
            <w:noProof/>
            <w:webHidden/>
          </w:rPr>
          <w:fldChar w:fldCharType="separate"/>
        </w:r>
        <w:r w:rsidR="008C0E2A">
          <w:rPr>
            <w:noProof/>
            <w:webHidden/>
          </w:rPr>
          <w:t>31</w:t>
        </w:r>
        <w:r w:rsidR="008C0E2A">
          <w:rPr>
            <w:noProof/>
            <w:webHidden/>
          </w:rPr>
          <w:fldChar w:fldCharType="end"/>
        </w:r>
      </w:hyperlink>
    </w:p>
    <w:p w14:paraId="7A89BA8B" w14:textId="77777777" w:rsidR="008C0E2A" w:rsidRDefault="00F345CA">
      <w:pPr>
        <w:pStyle w:val="Sumrio1"/>
        <w:tabs>
          <w:tab w:val="left" w:pos="660"/>
          <w:tab w:val="right" w:leader="dot" w:pos="8494"/>
        </w:tabs>
        <w:rPr>
          <w:rFonts w:asciiTheme="minorHAnsi" w:eastAsiaTheme="minorEastAsia" w:hAnsiTheme="minorHAnsi"/>
          <w:noProof/>
          <w:color w:val="auto"/>
          <w:lang w:eastAsia="pt-BR"/>
        </w:rPr>
      </w:pPr>
      <w:hyperlink w:anchor="_Toc150330298" w:history="1">
        <w:r w:rsidR="008C0E2A" w:rsidRPr="000B5761">
          <w:rPr>
            <w:rStyle w:val="Hyperlink"/>
            <w:rFonts w:cstheme="minorHAnsi"/>
            <w:noProof/>
          </w:rPr>
          <w:t>12.</w:t>
        </w:r>
        <w:r w:rsidR="008C0E2A">
          <w:rPr>
            <w:rFonts w:asciiTheme="minorHAnsi" w:eastAsiaTheme="minorEastAsia" w:hAnsiTheme="minorHAnsi"/>
            <w:noProof/>
            <w:color w:val="auto"/>
            <w:lang w:eastAsia="pt-BR"/>
          </w:rPr>
          <w:tab/>
        </w:r>
        <w:r w:rsidR="008C0E2A" w:rsidRPr="000B5761">
          <w:rPr>
            <w:rStyle w:val="Hyperlink"/>
            <w:rFonts w:cstheme="minorHAnsi"/>
            <w:noProof/>
          </w:rPr>
          <w:t>POLÍTICA DE TRANSPARÊNCIA</w:t>
        </w:r>
        <w:r w:rsidR="008C0E2A">
          <w:rPr>
            <w:noProof/>
            <w:webHidden/>
          </w:rPr>
          <w:tab/>
        </w:r>
        <w:r w:rsidR="008C0E2A">
          <w:rPr>
            <w:noProof/>
            <w:webHidden/>
          </w:rPr>
          <w:fldChar w:fldCharType="begin"/>
        </w:r>
        <w:r w:rsidR="008C0E2A">
          <w:rPr>
            <w:noProof/>
            <w:webHidden/>
          </w:rPr>
          <w:instrText xml:space="preserve"> PAGEREF _Toc150330298 \h </w:instrText>
        </w:r>
        <w:r w:rsidR="008C0E2A">
          <w:rPr>
            <w:noProof/>
            <w:webHidden/>
          </w:rPr>
        </w:r>
        <w:r w:rsidR="008C0E2A">
          <w:rPr>
            <w:noProof/>
            <w:webHidden/>
          </w:rPr>
          <w:fldChar w:fldCharType="separate"/>
        </w:r>
        <w:r w:rsidR="008C0E2A">
          <w:rPr>
            <w:noProof/>
            <w:webHidden/>
          </w:rPr>
          <w:t>32</w:t>
        </w:r>
        <w:r w:rsidR="008C0E2A">
          <w:rPr>
            <w:noProof/>
            <w:webHidden/>
          </w:rPr>
          <w:fldChar w:fldCharType="end"/>
        </w:r>
      </w:hyperlink>
    </w:p>
    <w:p w14:paraId="10C65279" w14:textId="77777777" w:rsidR="008C0E2A" w:rsidRDefault="00F345CA">
      <w:pPr>
        <w:pStyle w:val="Sumrio1"/>
        <w:tabs>
          <w:tab w:val="left" w:pos="660"/>
          <w:tab w:val="right" w:leader="dot" w:pos="8494"/>
        </w:tabs>
        <w:rPr>
          <w:rFonts w:asciiTheme="minorHAnsi" w:eastAsiaTheme="minorEastAsia" w:hAnsiTheme="minorHAnsi"/>
          <w:noProof/>
          <w:color w:val="auto"/>
          <w:lang w:eastAsia="pt-BR"/>
        </w:rPr>
      </w:pPr>
      <w:hyperlink w:anchor="_Toc150330299" w:history="1">
        <w:r w:rsidR="008C0E2A" w:rsidRPr="000B5761">
          <w:rPr>
            <w:rStyle w:val="Hyperlink"/>
            <w:rFonts w:cstheme="minorHAnsi"/>
            <w:noProof/>
          </w:rPr>
          <w:t>13.</w:t>
        </w:r>
        <w:r w:rsidR="008C0E2A">
          <w:rPr>
            <w:rFonts w:asciiTheme="minorHAnsi" w:eastAsiaTheme="minorEastAsia" w:hAnsiTheme="minorHAnsi"/>
            <w:noProof/>
            <w:color w:val="auto"/>
            <w:lang w:eastAsia="pt-BR"/>
          </w:rPr>
          <w:tab/>
        </w:r>
        <w:r w:rsidR="008C0E2A" w:rsidRPr="000B5761">
          <w:rPr>
            <w:rStyle w:val="Hyperlink"/>
            <w:rFonts w:cstheme="minorHAnsi"/>
            <w:noProof/>
          </w:rPr>
          <w:t>CREDENCIAMENTO</w:t>
        </w:r>
        <w:r w:rsidR="008C0E2A">
          <w:rPr>
            <w:noProof/>
            <w:webHidden/>
          </w:rPr>
          <w:tab/>
        </w:r>
        <w:r w:rsidR="008C0E2A">
          <w:rPr>
            <w:noProof/>
            <w:webHidden/>
          </w:rPr>
          <w:fldChar w:fldCharType="begin"/>
        </w:r>
        <w:r w:rsidR="008C0E2A">
          <w:rPr>
            <w:noProof/>
            <w:webHidden/>
          </w:rPr>
          <w:instrText xml:space="preserve"> PAGEREF _Toc150330299 \h </w:instrText>
        </w:r>
        <w:r w:rsidR="008C0E2A">
          <w:rPr>
            <w:noProof/>
            <w:webHidden/>
          </w:rPr>
        </w:r>
        <w:r w:rsidR="008C0E2A">
          <w:rPr>
            <w:noProof/>
            <w:webHidden/>
          </w:rPr>
          <w:fldChar w:fldCharType="separate"/>
        </w:r>
        <w:r w:rsidR="008C0E2A">
          <w:rPr>
            <w:noProof/>
            <w:webHidden/>
          </w:rPr>
          <w:t>32</w:t>
        </w:r>
        <w:r w:rsidR="008C0E2A">
          <w:rPr>
            <w:noProof/>
            <w:webHidden/>
          </w:rPr>
          <w:fldChar w:fldCharType="end"/>
        </w:r>
      </w:hyperlink>
    </w:p>
    <w:p w14:paraId="235695B2" w14:textId="77777777" w:rsidR="008C0E2A" w:rsidRDefault="00F345CA">
      <w:pPr>
        <w:pStyle w:val="Sumrio1"/>
        <w:tabs>
          <w:tab w:val="left" w:pos="660"/>
          <w:tab w:val="right" w:leader="dot" w:pos="8494"/>
        </w:tabs>
        <w:rPr>
          <w:rFonts w:asciiTheme="minorHAnsi" w:eastAsiaTheme="minorEastAsia" w:hAnsiTheme="minorHAnsi"/>
          <w:noProof/>
          <w:color w:val="auto"/>
          <w:lang w:eastAsia="pt-BR"/>
        </w:rPr>
      </w:pPr>
      <w:hyperlink w:anchor="_Toc150330300" w:history="1">
        <w:r w:rsidR="008C0E2A" w:rsidRPr="000B5761">
          <w:rPr>
            <w:rStyle w:val="Hyperlink"/>
            <w:rFonts w:cstheme="minorHAnsi"/>
            <w:noProof/>
          </w:rPr>
          <w:t>14.</w:t>
        </w:r>
        <w:r w:rsidR="008C0E2A">
          <w:rPr>
            <w:rFonts w:asciiTheme="minorHAnsi" w:eastAsiaTheme="minorEastAsia" w:hAnsiTheme="minorHAnsi"/>
            <w:noProof/>
            <w:color w:val="auto"/>
            <w:lang w:eastAsia="pt-BR"/>
          </w:rPr>
          <w:tab/>
        </w:r>
        <w:r w:rsidR="008C0E2A" w:rsidRPr="000B5761">
          <w:rPr>
            <w:rStyle w:val="Hyperlink"/>
            <w:rFonts w:cstheme="minorHAnsi"/>
            <w:noProof/>
          </w:rPr>
          <w:t>PRECIFICAÇÃO DE ATIVOS</w:t>
        </w:r>
        <w:r w:rsidR="008C0E2A">
          <w:rPr>
            <w:noProof/>
            <w:webHidden/>
          </w:rPr>
          <w:tab/>
        </w:r>
        <w:r w:rsidR="008C0E2A">
          <w:rPr>
            <w:noProof/>
            <w:webHidden/>
          </w:rPr>
          <w:fldChar w:fldCharType="begin"/>
        </w:r>
        <w:r w:rsidR="008C0E2A">
          <w:rPr>
            <w:noProof/>
            <w:webHidden/>
          </w:rPr>
          <w:instrText xml:space="preserve"> PAGEREF _Toc150330300 \h </w:instrText>
        </w:r>
        <w:r w:rsidR="008C0E2A">
          <w:rPr>
            <w:noProof/>
            <w:webHidden/>
          </w:rPr>
        </w:r>
        <w:r w:rsidR="008C0E2A">
          <w:rPr>
            <w:noProof/>
            <w:webHidden/>
          </w:rPr>
          <w:fldChar w:fldCharType="separate"/>
        </w:r>
        <w:r w:rsidR="008C0E2A">
          <w:rPr>
            <w:noProof/>
            <w:webHidden/>
          </w:rPr>
          <w:t>34</w:t>
        </w:r>
        <w:r w:rsidR="008C0E2A">
          <w:rPr>
            <w:noProof/>
            <w:webHidden/>
          </w:rPr>
          <w:fldChar w:fldCharType="end"/>
        </w:r>
      </w:hyperlink>
    </w:p>
    <w:p w14:paraId="4BB987CF" w14:textId="77777777" w:rsidR="008C0E2A" w:rsidRDefault="00F345CA">
      <w:pPr>
        <w:pStyle w:val="Sumrio1"/>
        <w:tabs>
          <w:tab w:val="left" w:pos="660"/>
          <w:tab w:val="right" w:leader="dot" w:pos="8494"/>
        </w:tabs>
        <w:rPr>
          <w:rFonts w:asciiTheme="minorHAnsi" w:eastAsiaTheme="minorEastAsia" w:hAnsiTheme="minorHAnsi"/>
          <w:noProof/>
          <w:color w:val="auto"/>
          <w:lang w:eastAsia="pt-BR"/>
        </w:rPr>
      </w:pPr>
      <w:hyperlink w:anchor="_Toc150330301" w:history="1">
        <w:r w:rsidR="008C0E2A" w:rsidRPr="000B5761">
          <w:rPr>
            <w:rStyle w:val="Hyperlink"/>
            <w:rFonts w:cstheme="minorHAnsi"/>
            <w:noProof/>
          </w:rPr>
          <w:t>15.</w:t>
        </w:r>
        <w:r w:rsidR="008C0E2A">
          <w:rPr>
            <w:rFonts w:asciiTheme="minorHAnsi" w:eastAsiaTheme="minorEastAsia" w:hAnsiTheme="minorHAnsi"/>
            <w:noProof/>
            <w:color w:val="auto"/>
            <w:lang w:eastAsia="pt-BR"/>
          </w:rPr>
          <w:tab/>
        </w:r>
        <w:r w:rsidR="008C0E2A" w:rsidRPr="000B5761">
          <w:rPr>
            <w:rStyle w:val="Hyperlink"/>
            <w:rFonts w:cstheme="minorHAnsi"/>
            <w:noProof/>
          </w:rPr>
          <w:t>FONTES PRIMÁRIAS DE INFORMAÇÕES</w:t>
        </w:r>
        <w:r w:rsidR="008C0E2A">
          <w:rPr>
            <w:noProof/>
            <w:webHidden/>
          </w:rPr>
          <w:tab/>
        </w:r>
        <w:r w:rsidR="008C0E2A">
          <w:rPr>
            <w:noProof/>
            <w:webHidden/>
          </w:rPr>
          <w:fldChar w:fldCharType="begin"/>
        </w:r>
        <w:r w:rsidR="008C0E2A">
          <w:rPr>
            <w:noProof/>
            <w:webHidden/>
          </w:rPr>
          <w:instrText xml:space="preserve"> PAGEREF _Toc150330301 \h </w:instrText>
        </w:r>
        <w:r w:rsidR="008C0E2A">
          <w:rPr>
            <w:noProof/>
            <w:webHidden/>
          </w:rPr>
        </w:r>
        <w:r w:rsidR="008C0E2A">
          <w:rPr>
            <w:noProof/>
            <w:webHidden/>
          </w:rPr>
          <w:fldChar w:fldCharType="separate"/>
        </w:r>
        <w:r w:rsidR="008C0E2A">
          <w:rPr>
            <w:noProof/>
            <w:webHidden/>
          </w:rPr>
          <w:t>38</w:t>
        </w:r>
        <w:r w:rsidR="008C0E2A">
          <w:rPr>
            <w:noProof/>
            <w:webHidden/>
          </w:rPr>
          <w:fldChar w:fldCharType="end"/>
        </w:r>
      </w:hyperlink>
    </w:p>
    <w:p w14:paraId="279BE83E" w14:textId="77777777" w:rsidR="008C0E2A" w:rsidRDefault="00F345CA">
      <w:pPr>
        <w:pStyle w:val="Sumrio1"/>
        <w:tabs>
          <w:tab w:val="left" w:pos="660"/>
          <w:tab w:val="right" w:leader="dot" w:pos="8494"/>
        </w:tabs>
        <w:rPr>
          <w:rFonts w:asciiTheme="minorHAnsi" w:eastAsiaTheme="minorEastAsia" w:hAnsiTheme="minorHAnsi"/>
          <w:noProof/>
          <w:color w:val="auto"/>
          <w:lang w:eastAsia="pt-BR"/>
        </w:rPr>
      </w:pPr>
      <w:hyperlink w:anchor="_Toc150330302" w:history="1">
        <w:r w:rsidR="008C0E2A" w:rsidRPr="000B5761">
          <w:rPr>
            <w:rStyle w:val="Hyperlink"/>
            <w:rFonts w:cstheme="minorHAnsi"/>
            <w:noProof/>
          </w:rPr>
          <w:t>16.</w:t>
        </w:r>
        <w:r w:rsidR="008C0E2A">
          <w:rPr>
            <w:rFonts w:asciiTheme="minorHAnsi" w:eastAsiaTheme="minorEastAsia" w:hAnsiTheme="minorHAnsi"/>
            <w:noProof/>
            <w:color w:val="auto"/>
            <w:lang w:eastAsia="pt-BR"/>
          </w:rPr>
          <w:tab/>
        </w:r>
        <w:r w:rsidR="008C0E2A" w:rsidRPr="000B5761">
          <w:rPr>
            <w:rStyle w:val="Hyperlink"/>
            <w:rFonts w:cstheme="minorHAnsi"/>
            <w:noProof/>
          </w:rPr>
          <w:t>POLÍTICA DE ACOMPANHAMENTO E AVALIAÇÃO</w:t>
        </w:r>
        <w:r w:rsidR="008C0E2A">
          <w:rPr>
            <w:noProof/>
            <w:webHidden/>
          </w:rPr>
          <w:tab/>
        </w:r>
        <w:r w:rsidR="008C0E2A">
          <w:rPr>
            <w:noProof/>
            <w:webHidden/>
          </w:rPr>
          <w:fldChar w:fldCharType="begin"/>
        </w:r>
        <w:r w:rsidR="008C0E2A">
          <w:rPr>
            <w:noProof/>
            <w:webHidden/>
          </w:rPr>
          <w:instrText xml:space="preserve"> PAGEREF _Toc150330302 \h </w:instrText>
        </w:r>
        <w:r w:rsidR="008C0E2A">
          <w:rPr>
            <w:noProof/>
            <w:webHidden/>
          </w:rPr>
        </w:r>
        <w:r w:rsidR="008C0E2A">
          <w:rPr>
            <w:noProof/>
            <w:webHidden/>
          </w:rPr>
          <w:fldChar w:fldCharType="separate"/>
        </w:r>
        <w:r w:rsidR="008C0E2A">
          <w:rPr>
            <w:noProof/>
            <w:webHidden/>
          </w:rPr>
          <w:t>38</w:t>
        </w:r>
        <w:r w:rsidR="008C0E2A">
          <w:rPr>
            <w:noProof/>
            <w:webHidden/>
          </w:rPr>
          <w:fldChar w:fldCharType="end"/>
        </w:r>
      </w:hyperlink>
    </w:p>
    <w:p w14:paraId="23295669" w14:textId="77777777" w:rsidR="008C0E2A" w:rsidRDefault="00F345CA">
      <w:pPr>
        <w:pStyle w:val="Sumrio1"/>
        <w:tabs>
          <w:tab w:val="left" w:pos="660"/>
          <w:tab w:val="right" w:leader="dot" w:pos="8494"/>
        </w:tabs>
        <w:rPr>
          <w:rFonts w:asciiTheme="minorHAnsi" w:eastAsiaTheme="minorEastAsia" w:hAnsiTheme="minorHAnsi"/>
          <w:noProof/>
          <w:color w:val="auto"/>
          <w:lang w:eastAsia="pt-BR"/>
        </w:rPr>
      </w:pPr>
      <w:hyperlink w:anchor="_Toc150330303" w:history="1">
        <w:r w:rsidR="008C0E2A" w:rsidRPr="000B5761">
          <w:rPr>
            <w:rStyle w:val="Hyperlink"/>
            <w:rFonts w:cstheme="minorHAnsi"/>
            <w:noProof/>
          </w:rPr>
          <w:t>17.</w:t>
        </w:r>
        <w:r w:rsidR="008C0E2A">
          <w:rPr>
            <w:rFonts w:asciiTheme="minorHAnsi" w:eastAsiaTheme="minorEastAsia" w:hAnsiTheme="minorHAnsi"/>
            <w:noProof/>
            <w:color w:val="auto"/>
            <w:lang w:eastAsia="pt-BR"/>
          </w:rPr>
          <w:tab/>
        </w:r>
        <w:r w:rsidR="008C0E2A" w:rsidRPr="000B5761">
          <w:rPr>
            <w:rStyle w:val="Hyperlink"/>
            <w:rFonts w:cstheme="minorHAnsi"/>
            <w:noProof/>
          </w:rPr>
          <w:t>PLANO DE CONTINGÊNCIA</w:t>
        </w:r>
        <w:r w:rsidR="008C0E2A">
          <w:rPr>
            <w:noProof/>
            <w:webHidden/>
          </w:rPr>
          <w:tab/>
        </w:r>
        <w:r w:rsidR="008C0E2A">
          <w:rPr>
            <w:noProof/>
            <w:webHidden/>
          </w:rPr>
          <w:fldChar w:fldCharType="begin"/>
        </w:r>
        <w:r w:rsidR="008C0E2A">
          <w:rPr>
            <w:noProof/>
            <w:webHidden/>
          </w:rPr>
          <w:instrText xml:space="preserve"> PAGEREF _Toc150330303 \h </w:instrText>
        </w:r>
        <w:r w:rsidR="008C0E2A">
          <w:rPr>
            <w:noProof/>
            <w:webHidden/>
          </w:rPr>
        </w:r>
        <w:r w:rsidR="008C0E2A">
          <w:rPr>
            <w:noProof/>
            <w:webHidden/>
          </w:rPr>
          <w:fldChar w:fldCharType="separate"/>
        </w:r>
        <w:r w:rsidR="008C0E2A">
          <w:rPr>
            <w:noProof/>
            <w:webHidden/>
          </w:rPr>
          <w:t>38</w:t>
        </w:r>
        <w:r w:rsidR="008C0E2A">
          <w:rPr>
            <w:noProof/>
            <w:webHidden/>
          </w:rPr>
          <w:fldChar w:fldCharType="end"/>
        </w:r>
      </w:hyperlink>
    </w:p>
    <w:p w14:paraId="03E4C35A" w14:textId="77777777" w:rsidR="008C0E2A" w:rsidRDefault="00F345CA">
      <w:pPr>
        <w:pStyle w:val="Sumrio1"/>
        <w:tabs>
          <w:tab w:val="left" w:pos="660"/>
          <w:tab w:val="right" w:leader="dot" w:pos="8494"/>
        </w:tabs>
        <w:rPr>
          <w:rFonts w:asciiTheme="minorHAnsi" w:eastAsiaTheme="minorEastAsia" w:hAnsiTheme="minorHAnsi"/>
          <w:noProof/>
          <w:color w:val="auto"/>
          <w:lang w:eastAsia="pt-BR"/>
        </w:rPr>
      </w:pPr>
      <w:hyperlink w:anchor="_Toc150330304" w:history="1">
        <w:r w:rsidR="008C0E2A" w:rsidRPr="000B5761">
          <w:rPr>
            <w:rStyle w:val="Hyperlink"/>
            <w:rFonts w:cstheme="minorHAnsi"/>
            <w:noProof/>
          </w:rPr>
          <w:t>18.</w:t>
        </w:r>
        <w:r w:rsidR="008C0E2A">
          <w:rPr>
            <w:rFonts w:asciiTheme="minorHAnsi" w:eastAsiaTheme="minorEastAsia" w:hAnsiTheme="minorHAnsi"/>
            <w:noProof/>
            <w:color w:val="auto"/>
            <w:lang w:eastAsia="pt-BR"/>
          </w:rPr>
          <w:tab/>
        </w:r>
        <w:r w:rsidR="008C0E2A" w:rsidRPr="000B5761">
          <w:rPr>
            <w:rStyle w:val="Hyperlink"/>
            <w:rFonts w:cstheme="minorHAnsi"/>
            <w:noProof/>
          </w:rPr>
          <w:t>CONTROLES INTERNOS</w:t>
        </w:r>
        <w:r w:rsidR="008C0E2A">
          <w:rPr>
            <w:noProof/>
            <w:webHidden/>
          </w:rPr>
          <w:tab/>
        </w:r>
        <w:r w:rsidR="008C0E2A">
          <w:rPr>
            <w:noProof/>
            <w:webHidden/>
          </w:rPr>
          <w:fldChar w:fldCharType="begin"/>
        </w:r>
        <w:r w:rsidR="008C0E2A">
          <w:rPr>
            <w:noProof/>
            <w:webHidden/>
          </w:rPr>
          <w:instrText xml:space="preserve"> PAGEREF _Toc150330304 \h </w:instrText>
        </w:r>
        <w:r w:rsidR="008C0E2A">
          <w:rPr>
            <w:noProof/>
            <w:webHidden/>
          </w:rPr>
        </w:r>
        <w:r w:rsidR="008C0E2A">
          <w:rPr>
            <w:noProof/>
            <w:webHidden/>
          </w:rPr>
          <w:fldChar w:fldCharType="separate"/>
        </w:r>
        <w:r w:rsidR="008C0E2A">
          <w:rPr>
            <w:noProof/>
            <w:webHidden/>
          </w:rPr>
          <w:t>39</w:t>
        </w:r>
        <w:r w:rsidR="008C0E2A">
          <w:rPr>
            <w:noProof/>
            <w:webHidden/>
          </w:rPr>
          <w:fldChar w:fldCharType="end"/>
        </w:r>
      </w:hyperlink>
    </w:p>
    <w:p w14:paraId="7A2718ED" w14:textId="77777777" w:rsidR="008C0E2A" w:rsidRDefault="00F345CA">
      <w:pPr>
        <w:pStyle w:val="Sumrio1"/>
        <w:tabs>
          <w:tab w:val="left" w:pos="660"/>
          <w:tab w:val="right" w:leader="dot" w:pos="8494"/>
        </w:tabs>
        <w:rPr>
          <w:rFonts w:asciiTheme="minorHAnsi" w:eastAsiaTheme="minorEastAsia" w:hAnsiTheme="minorHAnsi"/>
          <w:noProof/>
          <w:color w:val="auto"/>
          <w:lang w:eastAsia="pt-BR"/>
        </w:rPr>
      </w:pPr>
      <w:hyperlink w:anchor="_Toc150330305" w:history="1">
        <w:r w:rsidR="008C0E2A" w:rsidRPr="000B5761">
          <w:rPr>
            <w:rStyle w:val="Hyperlink"/>
            <w:rFonts w:cstheme="minorHAnsi"/>
            <w:noProof/>
          </w:rPr>
          <w:t>19.</w:t>
        </w:r>
        <w:r w:rsidR="008C0E2A">
          <w:rPr>
            <w:rFonts w:asciiTheme="minorHAnsi" w:eastAsiaTheme="minorEastAsia" w:hAnsiTheme="minorHAnsi"/>
            <w:noProof/>
            <w:color w:val="auto"/>
            <w:lang w:eastAsia="pt-BR"/>
          </w:rPr>
          <w:tab/>
        </w:r>
        <w:r w:rsidR="008C0E2A" w:rsidRPr="000B5761">
          <w:rPr>
            <w:rStyle w:val="Hyperlink"/>
            <w:rFonts w:cstheme="minorHAnsi"/>
            <w:noProof/>
          </w:rPr>
          <w:t>DISPOSIÇÕES GERAIS</w:t>
        </w:r>
        <w:r w:rsidR="008C0E2A">
          <w:rPr>
            <w:noProof/>
            <w:webHidden/>
          </w:rPr>
          <w:tab/>
        </w:r>
        <w:r w:rsidR="008C0E2A">
          <w:rPr>
            <w:noProof/>
            <w:webHidden/>
          </w:rPr>
          <w:fldChar w:fldCharType="begin"/>
        </w:r>
        <w:r w:rsidR="008C0E2A">
          <w:rPr>
            <w:noProof/>
            <w:webHidden/>
          </w:rPr>
          <w:instrText xml:space="preserve"> PAGEREF _Toc150330305 \h </w:instrText>
        </w:r>
        <w:r w:rsidR="008C0E2A">
          <w:rPr>
            <w:noProof/>
            <w:webHidden/>
          </w:rPr>
        </w:r>
        <w:r w:rsidR="008C0E2A">
          <w:rPr>
            <w:noProof/>
            <w:webHidden/>
          </w:rPr>
          <w:fldChar w:fldCharType="separate"/>
        </w:r>
        <w:r w:rsidR="008C0E2A">
          <w:rPr>
            <w:noProof/>
            <w:webHidden/>
          </w:rPr>
          <w:t>40</w:t>
        </w:r>
        <w:r w:rsidR="008C0E2A">
          <w:rPr>
            <w:noProof/>
            <w:webHidden/>
          </w:rPr>
          <w:fldChar w:fldCharType="end"/>
        </w:r>
      </w:hyperlink>
    </w:p>
    <w:p w14:paraId="48F43601" w14:textId="77777777" w:rsidR="008C0E2A" w:rsidRDefault="00F345CA">
      <w:pPr>
        <w:pStyle w:val="Sumrio1"/>
        <w:tabs>
          <w:tab w:val="left" w:pos="660"/>
          <w:tab w:val="right" w:leader="dot" w:pos="8494"/>
        </w:tabs>
        <w:rPr>
          <w:rFonts w:asciiTheme="minorHAnsi" w:eastAsiaTheme="minorEastAsia" w:hAnsiTheme="minorHAnsi"/>
          <w:noProof/>
          <w:color w:val="auto"/>
          <w:lang w:eastAsia="pt-BR"/>
        </w:rPr>
      </w:pPr>
      <w:hyperlink w:anchor="_Toc150330306" w:history="1">
        <w:r w:rsidR="008C0E2A" w:rsidRPr="000B5761">
          <w:rPr>
            <w:rStyle w:val="Hyperlink"/>
            <w:rFonts w:cstheme="minorHAnsi"/>
            <w:noProof/>
          </w:rPr>
          <w:t>20.</w:t>
        </w:r>
        <w:r w:rsidR="008C0E2A">
          <w:rPr>
            <w:rFonts w:asciiTheme="minorHAnsi" w:eastAsiaTheme="minorEastAsia" w:hAnsiTheme="minorHAnsi"/>
            <w:noProof/>
            <w:color w:val="auto"/>
            <w:lang w:eastAsia="pt-BR"/>
          </w:rPr>
          <w:tab/>
        </w:r>
        <w:r w:rsidR="008C0E2A" w:rsidRPr="000B5761">
          <w:rPr>
            <w:rStyle w:val="Hyperlink"/>
            <w:rFonts w:cstheme="minorHAnsi"/>
            <w:noProof/>
          </w:rPr>
          <w:t>ASSINATURAS</w:t>
        </w:r>
        <w:r w:rsidR="008C0E2A">
          <w:rPr>
            <w:noProof/>
            <w:webHidden/>
          </w:rPr>
          <w:tab/>
        </w:r>
        <w:r w:rsidR="008C0E2A">
          <w:rPr>
            <w:noProof/>
            <w:webHidden/>
          </w:rPr>
          <w:fldChar w:fldCharType="begin"/>
        </w:r>
        <w:r w:rsidR="008C0E2A">
          <w:rPr>
            <w:noProof/>
            <w:webHidden/>
          </w:rPr>
          <w:instrText xml:space="preserve"> PAGEREF _Toc150330306 \h </w:instrText>
        </w:r>
        <w:r w:rsidR="008C0E2A">
          <w:rPr>
            <w:noProof/>
            <w:webHidden/>
          </w:rPr>
        </w:r>
        <w:r w:rsidR="008C0E2A">
          <w:rPr>
            <w:noProof/>
            <w:webHidden/>
          </w:rPr>
          <w:fldChar w:fldCharType="separate"/>
        </w:r>
        <w:r w:rsidR="008C0E2A">
          <w:rPr>
            <w:noProof/>
            <w:webHidden/>
          </w:rPr>
          <w:t>41</w:t>
        </w:r>
        <w:r w:rsidR="008C0E2A">
          <w:rPr>
            <w:noProof/>
            <w:webHidden/>
          </w:rPr>
          <w:fldChar w:fldCharType="end"/>
        </w:r>
      </w:hyperlink>
    </w:p>
    <w:p w14:paraId="1787EE9E" w14:textId="49334905" w:rsidR="006711AC" w:rsidRPr="00A92A3E" w:rsidRDefault="00B94966" w:rsidP="005F0F91">
      <w:pPr>
        <w:rPr>
          <w:rFonts w:asciiTheme="minorHAnsi" w:hAnsiTheme="minorHAnsi" w:cstheme="minorHAnsi"/>
          <w:sz w:val="16"/>
          <w:szCs w:val="16"/>
        </w:rPr>
      </w:pPr>
      <w:r w:rsidRPr="00A92A3E">
        <w:rPr>
          <w:rFonts w:asciiTheme="minorHAnsi" w:hAnsiTheme="minorHAnsi" w:cstheme="minorHAnsi"/>
          <w:sz w:val="16"/>
          <w:szCs w:val="16"/>
        </w:rPr>
        <w:fldChar w:fldCharType="end"/>
      </w:r>
      <w:r w:rsidR="006711AC" w:rsidRPr="00A92A3E">
        <w:rPr>
          <w:rFonts w:asciiTheme="minorHAnsi" w:hAnsiTheme="minorHAnsi" w:cstheme="minorHAnsi"/>
          <w:sz w:val="16"/>
          <w:szCs w:val="16"/>
        </w:rPr>
        <w:br w:type="page"/>
      </w:r>
    </w:p>
    <w:p w14:paraId="73ADC063" w14:textId="77777777" w:rsidR="00500AE2" w:rsidRPr="00A92A3E" w:rsidRDefault="00500AE2" w:rsidP="00C8521E">
      <w:pPr>
        <w:pStyle w:val="Ttulo1"/>
        <w:rPr>
          <w:rFonts w:asciiTheme="minorHAnsi" w:hAnsiTheme="minorHAnsi" w:cstheme="minorHAnsi"/>
          <w:sz w:val="16"/>
          <w:szCs w:val="16"/>
        </w:rPr>
      </w:pPr>
      <w:bookmarkStart w:id="1" w:name="_Toc435202736"/>
      <w:bookmarkStart w:id="2" w:name="_Toc118105125"/>
      <w:bookmarkStart w:id="3" w:name="_Toc150330286"/>
      <w:r w:rsidRPr="00A92A3E">
        <w:rPr>
          <w:rFonts w:asciiTheme="minorHAnsi" w:hAnsiTheme="minorHAnsi" w:cstheme="minorHAnsi"/>
          <w:sz w:val="16"/>
          <w:szCs w:val="16"/>
        </w:rPr>
        <w:lastRenderedPageBreak/>
        <w:t>INTRODUÇÃO</w:t>
      </w:r>
      <w:bookmarkEnd w:id="1"/>
      <w:bookmarkEnd w:id="2"/>
      <w:bookmarkEnd w:id="3"/>
    </w:p>
    <w:p w14:paraId="6BBA7C64" w14:textId="704CA107"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Atendendo à Resolução do Conselho Monetário Nacional - CMN nº 4.963, de 25 de novembro de 2021, doravante denominada simplesmente </w:t>
      </w:r>
      <w:r w:rsidR="00F92FAF" w:rsidRPr="00A92A3E">
        <w:rPr>
          <w:rFonts w:asciiTheme="minorHAnsi" w:hAnsiTheme="minorHAnsi" w:cstheme="minorHAnsi"/>
          <w:bCs/>
          <w:sz w:val="16"/>
          <w:szCs w:val="16"/>
        </w:rPr>
        <w:t>(</w:t>
      </w:r>
      <w:r w:rsidRPr="00A92A3E">
        <w:rPr>
          <w:rFonts w:asciiTheme="minorHAnsi" w:hAnsiTheme="minorHAnsi" w:cstheme="minorHAnsi"/>
          <w:bCs/>
          <w:sz w:val="16"/>
          <w:szCs w:val="16"/>
        </w:rPr>
        <w:t>“Resolução CMN nº 4.963/2021”</w:t>
      </w:r>
      <w:r w:rsidR="00106280" w:rsidRPr="00A92A3E">
        <w:rPr>
          <w:rFonts w:asciiTheme="minorHAnsi" w:hAnsiTheme="minorHAnsi" w:cstheme="minorHAnsi"/>
          <w:bCs/>
          <w:sz w:val="16"/>
          <w:szCs w:val="16"/>
        </w:rPr>
        <w:t>)</w:t>
      </w:r>
      <w:r w:rsidRPr="00A92A3E">
        <w:rPr>
          <w:rFonts w:asciiTheme="minorHAnsi" w:hAnsiTheme="minorHAnsi" w:cstheme="minorHAnsi"/>
          <w:bCs/>
          <w:sz w:val="16"/>
          <w:szCs w:val="16"/>
        </w:rPr>
        <w:t xml:space="preserve"> e a Portaria MTP nº 1.467, de 2 de junho de 2022</w:t>
      </w:r>
      <w:r w:rsidR="00106280"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 xml:space="preserve">doravante denominada simplesmente </w:t>
      </w:r>
      <w:r w:rsidR="00F92FAF" w:rsidRPr="00A92A3E">
        <w:rPr>
          <w:rFonts w:asciiTheme="minorHAnsi" w:hAnsiTheme="minorHAnsi" w:cstheme="minorHAnsi"/>
          <w:bCs/>
          <w:sz w:val="16"/>
          <w:szCs w:val="16"/>
        </w:rPr>
        <w:t>(</w:t>
      </w:r>
      <w:r w:rsidRPr="00A92A3E">
        <w:rPr>
          <w:rFonts w:asciiTheme="minorHAnsi" w:hAnsiTheme="minorHAnsi" w:cstheme="minorHAnsi"/>
          <w:bCs/>
          <w:sz w:val="16"/>
          <w:szCs w:val="16"/>
        </w:rPr>
        <w:t xml:space="preserve">“Portaria </w:t>
      </w:r>
      <w:r w:rsidR="00F92FAF" w:rsidRPr="00A92A3E">
        <w:rPr>
          <w:rFonts w:asciiTheme="minorHAnsi" w:hAnsiTheme="minorHAnsi" w:cstheme="minorHAnsi"/>
          <w:bCs/>
          <w:sz w:val="16"/>
          <w:szCs w:val="16"/>
        </w:rPr>
        <w:t xml:space="preserve">MTP </w:t>
      </w:r>
      <w:r w:rsidRPr="00A92A3E">
        <w:rPr>
          <w:rFonts w:asciiTheme="minorHAnsi" w:hAnsiTheme="minorHAnsi" w:cstheme="minorHAnsi"/>
          <w:bCs/>
          <w:sz w:val="16"/>
          <w:szCs w:val="16"/>
        </w:rPr>
        <w:t>nº 1.467/2022”</w:t>
      </w:r>
      <w:r w:rsidR="00F92FAF" w:rsidRPr="00A92A3E">
        <w:rPr>
          <w:rFonts w:asciiTheme="minorHAnsi" w:hAnsiTheme="minorHAnsi" w:cstheme="minorHAnsi"/>
          <w:bCs/>
          <w:sz w:val="16"/>
          <w:szCs w:val="16"/>
        </w:rPr>
        <w:t>)</w:t>
      </w:r>
      <w:r w:rsidRPr="00A92A3E">
        <w:rPr>
          <w:rFonts w:asciiTheme="minorHAnsi" w:hAnsiTheme="minorHAnsi" w:cstheme="minorHAnsi"/>
          <w:bCs/>
          <w:sz w:val="16"/>
          <w:szCs w:val="16"/>
        </w:rPr>
        <w:t>, o</w:t>
      </w:r>
      <w:r w:rsidR="00F92FAF" w:rsidRPr="00A92A3E">
        <w:rPr>
          <w:rFonts w:asciiTheme="minorHAnsi" w:hAnsiTheme="minorHAnsi" w:cstheme="minorHAnsi"/>
          <w:bCs/>
          <w:sz w:val="16"/>
          <w:szCs w:val="16"/>
        </w:rPr>
        <w:t xml:space="preserve">s responsáveis pela Gestão </w:t>
      </w:r>
      <w:r w:rsidRPr="00A92A3E">
        <w:rPr>
          <w:rFonts w:asciiTheme="minorHAnsi" w:hAnsiTheme="minorHAnsi" w:cstheme="minorHAnsi"/>
          <w:bCs/>
          <w:sz w:val="16"/>
          <w:szCs w:val="16"/>
        </w:rPr>
        <w:t xml:space="preserve">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apresenta</w:t>
      </w:r>
      <w:r w:rsidR="00CA3E30" w:rsidRPr="00A92A3E">
        <w:rPr>
          <w:rFonts w:asciiTheme="minorHAnsi" w:hAnsiTheme="minorHAnsi" w:cstheme="minorHAnsi"/>
          <w:bCs/>
          <w:sz w:val="16"/>
          <w:szCs w:val="16"/>
        </w:rPr>
        <w:t>m</w:t>
      </w:r>
      <w:r w:rsidRPr="00A92A3E">
        <w:rPr>
          <w:rFonts w:asciiTheme="minorHAnsi" w:hAnsiTheme="minorHAnsi" w:cstheme="minorHAnsi"/>
          <w:bCs/>
          <w:sz w:val="16"/>
          <w:szCs w:val="16"/>
        </w:rPr>
        <w:t xml:space="preserve"> sua Política de Investimentos para o exercício de 202</w:t>
      </w:r>
      <w:r w:rsidR="00CA3E30" w:rsidRPr="00A92A3E">
        <w:rPr>
          <w:rFonts w:asciiTheme="minorHAnsi" w:hAnsiTheme="minorHAnsi" w:cstheme="minorHAnsi"/>
          <w:bCs/>
          <w:sz w:val="16"/>
          <w:szCs w:val="16"/>
        </w:rPr>
        <w:t>4</w:t>
      </w:r>
      <w:r w:rsidRPr="00A92A3E">
        <w:rPr>
          <w:rFonts w:asciiTheme="minorHAnsi" w:hAnsiTheme="minorHAnsi" w:cstheme="minorHAnsi"/>
          <w:bCs/>
          <w:sz w:val="16"/>
          <w:szCs w:val="16"/>
        </w:rPr>
        <w:t>, devidamente</w:t>
      </w:r>
      <w:r w:rsidR="00CA3E30" w:rsidRPr="00A92A3E">
        <w:rPr>
          <w:rFonts w:asciiTheme="minorHAnsi" w:hAnsiTheme="minorHAnsi" w:cstheme="minorHAnsi"/>
          <w:bCs/>
          <w:sz w:val="16"/>
          <w:szCs w:val="16"/>
        </w:rPr>
        <w:t xml:space="preserve"> elaborada,</w:t>
      </w:r>
      <w:r w:rsidRPr="00A92A3E">
        <w:rPr>
          <w:rFonts w:asciiTheme="minorHAnsi" w:hAnsiTheme="minorHAnsi" w:cstheme="minorHAnsi"/>
          <w:bCs/>
          <w:sz w:val="16"/>
          <w:szCs w:val="16"/>
        </w:rPr>
        <w:t xml:space="preserve"> analisada e aprovada por seu</w:t>
      </w:r>
      <w:r w:rsidR="00CA3E30" w:rsidRPr="00A92A3E">
        <w:rPr>
          <w:rFonts w:asciiTheme="minorHAnsi" w:hAnsiTheme="minorHAnsi" w:cstheme="minorHAnsi"/>
          <w:bCs/>
          <w:sz w:val="16"/>
          <w:szCs w:val="16"/>
        </w:rPr>
        <w:t xml:space="preserve">s órgãos superiores de </w:t>
      </w:r>
      <w:r w:rsidR="00856F88" w:rsidRPr="00A92A3E">
        <w:rPr>
          <w:rFonts w:asciiTheme="minorHAnsi" w:hAnsiTheme="minorHAnsi" w:cstheme="minorHAnsi"/>
          <w:bCs/>
          <w:sz w:val="16"/>
          <w:szCs w:val="16"/>
        </w:rPr>
        <w:t>execução e deliberação</w:t>
      </w:r>
      <w:r w:rsidRPr="00A92A3E">
        <w:rPr>
          <w:rFonts w:asciiTheme="minorHAnsi" w:hAnsiTheme="minorHAnsi" w:cstheme="minorHAnsi"/>
          <w:bCs/>
          <w:sz w:val="16"/>
          <w:szCs w:val="16"/>
        </w:rPr>
        <w:t>.</w:t>
      </w:r>
    </w:p>
    <w:p w14:paraId="6C42EDDB" w14:textId="7BFB946D"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A Política de Investimentos representa uma formalidade legal que fundamenta e norteia todos os processos de tomada de decisão relativo </w:t>
      </w:r>
      <w:r w:rsidR="00822AFF" w:rsidRPr="00A92A3E">
        <w:rPr>
          <w:rFonts w:asciiTheme="minorHAnsi" w:hAnsiTheme="minorHAnsi" w:cstheme="minorHAnsi"/>
          <w:bCs/>
          <w:sz w:val="16"/>
          <w:szCs w:val="16"/>
        </w:rPr>
        <w:t>à</w:t>
      </w:r>
      <w:r w:rsidRPr="00A92A3E">
        <w:rPr>
          <w:rFonts w:asciiTheme="minorHAnsi" w:hAnsiTheme="minorHAnsi" w:cstheme="minorHAnsi"/>
          <w:bCs/>
          <w:sz w:val="16"/>
          <w:szCs w:val="16"/>
        </w:rPr>
        <w:t xml:space="preserve"> gestão dos recursos dos Regimes Próprios de Previdência Social – RPPS, empregada como ferramenta de gestão necessária para garantir o equilíbrio econômico, financeiro e atuarial</w:t>
      </w:r>
      <w:r w:rsidRPr="00A92A3E">
        <w:rPr>
          <w:rStyle w:val="Refdenotaderodap"/>
          <w:rFonts w:asciiTheme="minorHAnsi" w:hAnsiTheme="minorHAnsi" w:cstheme="minorHAnsi"/>
          <w:bCs/>
          <w:sz w:val="16"/>
          <w:szCs w:val="16"/>
        </w:rPr>
        <w:footnoteReference w:id="1"/>
      </w:r>
      <w:r w:rsidRPr="00A92A3E">
        <w:rPr>
          <w:rFonts w:asciiTheme="minorHAnsi" w:hAnsiTheme="minorHAnsi" w:cstheme="minorHAnsi"/>
          <w:bCs/>
          <w:sz w:val="16"/>
          <w:szCs w:val="16"/>
        </w:rPr>
        <w:t>.</w:t>
      </w:r>
    </w:p>
    <w:p w14:paraId="5EABC931" w14:textId="161C5501" w:rsidR="00500AE2"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Os fundamentos para a elaboração da presente Política de Investimentos estão centrados nos critérios legais e técnicos, estes de grande relevância. Ressalta-se que serão observados, para que se trabalhe com parâmetros sólidos quanto a tomada de decisões, a análise do fluxo de caixa atuarial, levando-se em consideração as reservas técnicas atuariais (ativos) e as reservas matemáticas (passivo) projetadas pelo cálculo atuarial.</w:t>
      </w:r>
    </w:p>
    <w:p w14:paraId="126867D6" w14:textId="77777777" w:rsidR="00500AE2" w:rsidRPr="00A92A3E" w:rsidRDefault="00500AE2" w:rsidP="00C8521E">
      <w:pPr>
        <w:pStyle w:val="Ttulo1"/>
        <w:rPr>
          <w:rFonts w:asciiTheme="minorHAnsi" w:hAnsiTheme="minorHAnsi" w:cstheme="minorHAnsi"/>
          <w:sz w:val="16"/>
          <w:szCs w:val="16"/>
        </w:rPr>
      </w:pPr>
      <w:bookmarkStart w:id="4" w:name="_Toc435202737"/>
      <w:bookmarkStart w:id="5" w:name="_Toc490036539"/>
      <w:bookmarkStart w:id="6" w:name="_Toc118105126"/>
      <w:bookmarkStart w:id="7" w:name="_Toc150330287"/>
      <w:r w:rsidRPr="00A92A3E">
        <w:rPr>
          <w:rFonts w:asciiTheme="minorHAnsi" w:hAnsiTheme="minorHAnsi" w:cstheme="minorHAnsi"/>
          <w:sz w:val="16"/>
          <w:szCs w:val="16"/>
        </w:rPr>
        <w:t>OBJETIVO</w:t>
      </w:r>
      <w:bookmarkEnd w:id="4"/>
      <w:bookmarkEnd w:id="5"/>
      <w:bookmarkEnd w:id="6"/>
      <w:bookmarkEnd w:id="7"/>
    </w:p>
    <w:p w14:paraId="4A64389C" w14:textId="6E437A1A"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A Política de Investimentos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 xml:space="preserve">tem como objetivo estabelecer as regras, os procedimentos e os controles </w:t>
      </w:r>
      <w:r w:rsidR="00D2026B" w:rsidRPr="00A92A3E">
        <w:rPr>
          <w:rFonts w:asciiTheme="minorHAnsi" w:hAnsiTheme="minorHAnsi" w:cstheme="minorHAnsi"/>
          <w:bCs/>
          <w:sz w:val="16"/>
          <w:szCs w:val="16"/>
        </w:rPr>
        <w:t xml:space="preserve">internos </w:t>
      </w:r>
      <w:r w:rsidRPr="00A92A3E">
        <w:rPr>
          <w:rFonts w:asciiTheme="minorHAnsi" w:hAnsiTheme="minorHAnsi" w:cstheme="minorHAnsi"/>
          <w:bCs/>
          <w:sz w:val="16"/>
          <w:szCs w:val="16"/>
        </w:rPr>
        <w:t xml:space="preserve">relativos </w:t>
      </w:r>
      <w:r w:rsidR="008B4D44" w:rsidRPr="00A92A3E">
        <w:rPr>
          <w:rFonts w:asciiTheme="minorHAnsi" w:hAnsiTheme="minorHAnsi" w:cstheme="minorHAnsi"/>
          <w:bCs/>
          <w:sz w:val="16"/>
          <w:szCs w:val="16"/>
        </w:rPr>
        <w:t>à</w:t>
      </w:r>
      <w:r w:rsidRPr="00A92A3E">
        <w:rPr>
          <w:rFonts w:asciiTheme="minorHAnsi" w:hAnsiTheme="minorHAnsi" w:cstheme="minorHAnsi"/>
          <w:bCs/>
          <w:sz w:val="16"/>
          <w:szCs w:val="16"/>
        </w:rPr>
        <w:t xml:space="preserve"> gestão dos recursos garantidores dos pagamentos dos segurados e beneficiários </w:t>
      </w:r>
      <w:r w:rsidR="00932318" w:rsidRPr="00A92A3E">
        <w:rPr>
          <w:rFonts w:asciiTheme="minorHAnsi" w:hAnsiTheme="minorHAnsi" w:cstheme="minorHAnsi"/>
          <w:bCs/>
          <w:sz w:val="16"/>
          <w:szCs w:val="16"/>
        </w:rPr>
        <w:t>municipais</w:t>
      </w:r>
      <w:r w:rsidRPr="00A92A3E">
        <w:rPr>
          <w:rFonts w:asciiTheme="minorHAnsi" w:hAnsiTheme="minorHAnsi" w:cstheme="minorHAnsi"/>
          <w:bCs/>
          <w:sz w:val="16"/>
          <w:szCs w:val="16"/>
        </w:rPr>
        <w:t>, visando não somente atingir a meta de rentabilidade definida, mas também garantir a manutenção do equilíbrio econômico, financeiro e atuarial. Tendo sempre presentes os princípios da boa governança, segurança, rentabilidade, solvência, liquidez, motivação, adequação à natureza de suas obrigações e transparência.</w:t>
      </w:r>
    </w:p>
    <w:p w14:paraId="01DC9789" w14:textId="5D08C4FA"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Complementarmente, a Política de Investimentos zela pela diligência na condução dos processos internos relativos </w:t>
      </w:r>
      <w:r w:rsidR="008E1D3F" w:rsidRPr="00A92A3E">
        <w:rPr>
          <w:rFonts w:asciiTheme="minorHAnsi" w:hAnsiTheme="minorHAnsi" w:cstheme="minorHAnsi"/>
          <w:bCs/>
          <w:sz w:val="16"/>
          <w:szCs w:val="16"/>
        </w:rPr>
        <w:t>à</w:t>
      </w:r>
      <w:r w:rsidRPr="00A92A3E">
        <w:rPr>
          <w:rFonts w:asciiTheme="minorHAnsi" w:hAnsiTheme="minorHAnsi" w:cstheme="minorHAnsi"/>
          <w:bCs/>
          <w:sz w:val="16"/>
          <w:szCs w:val="16"/>
        </w:rPr>
        <w:t xml:space="preserve"> tomada de decisão quanto </w:t>
      </w:r>
      <w:r w:rsidR="008E1D3F" w:rsidRPr="00A92A3E">
        <w:rPr>
          <w:rFonts w:asciiTheme="minorHAnsi" w:hAnsiTheme="minorHAnsi" w:cstheme="minorHAnsi"/>
          <w:bCs/>
          <w:sz w:val="16"/>
          <w:szCs w:val="16"/>
        </w:rPr>
        <w:t>a gestão</w:t>
      </w:r>
      <w:r w:rsidRPr="00A92A3E">
        <w:rPr>
          <w:rFonts w:asciiTheme="minorHAnsi" w:hAnsiTheme="minorHAnsi" w:cstheme="minorHAnsi"/>
          <w:bCs/>
          <w:sz w:val="16"/>
          <w:szCs w:val="16"/>
        </w:rPr>
        <w:t xml:space="preserve"> dos recursos, buscando </w:t>
      </w:r>
      <w:r w:rsidR="00FE3F17" w:rsidRPr="00A92A3E">
        <w:rPr>
          <w:rFonts w:asciiTheme="minorHAnsi" w:hAnsiTheme="minorHAnsi" w:cstheme="minorHAnsi"/>
          <w:bCs/>
          <w:sz w:val="16"/>
          <w:szCs w:val="16"/>
        </w:rPr>
        <w:t xml:space="preserve">o princípio da diversificação </w:t>
      </w:r>
      <w:r w:rsidR="0026103D" w:rsidRPr="00A92A3E">
        <w:rPr>
          <w:rFonts w:asciiTheme="minorHAnsi" w:hAnsiTheme="minorHAnsi" w:cstheme="minorHAnsi"/>
          <w:bCs/>
          <w:sz w:val="16"/>
          <w:szCs w:val="16"/>
        </w:rPr>
        <w:t xml:space="preserve">e o credenciamento das </w:t>
      </w:r>
      <w:r w:rsidRPr="00A92A3E">
        <w:rPr>
          <w:rFonts w:asciiTheme="minorHAnsi" w:hAnsiTheme="minorHAnsi" w:cstheme="minorHAnsi"/>
          <w:bCs/>
          <w:sz w:val="16"/>
          <w:szCs w:val="16"/>
        </w:rPr>
        <w:t>Instituições Financeiras</w:t>
      </w:r>
      <w:r w:rsidR="0026103D" w:rsidRPr="00A92A3E">
        <w:rPr>
          <w:rFonts w:asciiTheme="minorHAnsi" w:hAnsiTheme="minorHAnsi" w:cstheme="minorHAnsi"/>
          <w:bCs/>
          <w:sz w:val="16"/>
          <w:szCs w:val="16"/>
        </w:rPr>
        <w:t xml:space="preserve"> que </w:t>
      </w:r>
      <w:r w:rsidR="00AD625F" w:rsidRPr="00A92A3E">
        <w:rPr>
          <w:rFonts w:asciiTheme="minorHAnsi" w:hAnsiTheme="minorHAnsi" w:cstheme="minorHAnsi"/>
          <w:bCs/>
          <w:sz w:val="16"/>
          <w:szCs w:val="16"/>
        </w:rPr>
        <w:t xml:space="preserve">fazem parte ou farão parte da </w:t>
      </w:r>
      <w:r w:rsidR="005847BD" w:rsidRPr="00A92A3E">
        <w:rPr>
          <w:rFonts w:asciiTheme="minorHAnsi" w:hAnsiTheme="minorHAnsi" w:cstheme="minorHAnsi"/>
          <w:bCs/>
          <w:sz w:val="16"/>
          <w:szCs w:val="16"/>
        </w:rPr>
        <w:t xml:space="preserve">Carteira de Investimentos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w:t>
      </w:r>
    </w:p>
    <w:p w14:paraId="06AE149A" w14:textId="16F47E1E" w:rsidR="00500AE2" w:rsidRDefault="00500AE2" w:rsidP="003251D9">
      <w:pPr>
        <w:rPr>
          <w:rFonts w:asciiTheme="minorHAnsi" w:hAnsiTheme="minorHAnsi" w:cstheme="minorHAnsi"/>
          <w:bCs/>
          <w:sz w:val="16"/>
          <w:szCs w:val="16"/>
        </w:rPr>
      </w:pPr>
      <w:r w:rsidRPr="00A92A3E">
        <w:rPr>
          <w:rFonts w:asciiTheme="minorHAnsi" w:hAnsiTheme="minorHAnsi" w:cstheme="minorHAnsi"/>
          <w:bCs/>
          <w:sz w:val="16"/>
          <w:szCs w:val="16"/>
        </w:rPr>
        <w:t xml:space="preserve">Para seu cumprimento, a Política de Investimentos apresenta os critérios quanto ao </w:t>
      </w:r>
      <w:r w:rsidR="00906C94" w:rsidRPr="00A92A3E">
        <w:rPr>
          <w:rFonts w:asciiTheme="minorHAnsi" w:hAnsiTheme="minorHAnsi" w:cstheme="minorHAnsi"/>
          <w:bCs/>
          <w:sz w:val="16"/>
          <w:szCs w:val="16"/>
        </w:rPr>
        <w:t>P</w:t>
      </w:r>
      <w:r w:rsidRPr="00A92A3E">
        <w:rPr>
          <w:rFonts w:asciiTheme="minorHAnsi" w:hAnsiTheme="minorHAnsi" w:cstheme="minorHAnsi"/>
          <w:bCs/>
          <w:sz w:val="16"/>
          <w:szCs w:val="16"/>
        </w:rPr>
        <w:t xml:space="preserve">lano de </w:t>
      </w:r>
      <w:r w:rsidR="00906C94" w:rsidRPr="00A92A3E">
        <w:rPr>
          <w:rFonts w:asciiTheme="minorHAnsi" w:hAnsiTheme="minorHAnsi" w:cstheme="minorHAnsi"/>
          <w:bCs/>
          <w:sz w:val="16"/>
          <w:szCs w:val="16"/>
        </w:rPr>
        <w:t>C</w:t>
      </w:r>
      <w:r w:rsidRPr="00A92A3E">
        <w:rPr>
          <w:rFonts w:asciiTheme="minorHAnsi" w:hAnsiTheme="minorHAnsi" w:cstheme="minorHAnsi"/>
          <w:bCs/>
          <w:sz w:val="16"/>
          <w:szCs w:val="16"/>
        </w:rPr>
        <w:t xml:space="preserve">ontingência, os parâmetros, as metodologias, os critérios, as modalidades e os limites legais e operacionais, buscando </w:t>
      </w:r>
      <w:r w:rsidR="004C5756" w:rsidRPr="00A92A3E">
        <w:rPr>
          <w:rFonts w:asciiTheme="minorHAnsi" w:hAnsiTheme="minorHAnsi" w:cstheme="minorHAnsi"/>
          <w:bCs/>
          <w:sz w:val="16"/>
          <w:szCs w:val="16"/>
        </w:rPr>
        <w:t>a melhor</w:t>
      </w:r>
      <w:r w:rsidR="003433F0" w:rsidRPr="00A92A3E">
        <w:rPr>
          <w:rFonts w:asciiTheme="minorHAnsi" w:hAnsiTheme="minorHAnsi" w:cstheme="minorHAnsi"/>
          <w:bCs/>
          <w:sz w:val="16"/>
          <w:szCs w:val="16"/>
        </w:rPr>
        <w:t xml:space="preserve">, a </w:t>
      </w:r>
      <w:r w:rsidRPr="00A92A3E">
        <w:rPr>
          <w:rFonts w:asciiTheme="minorHAnsi" w:hAnsiTheme="minorHAnsi" w:cstheme="minorHAnsi"/>
          <w:bCs/>
          <w:sz w:val="16"/>
          <w:szCs w:val="16"/>
        </w:rPr>
        <w:t>adequada gestão e alocação dos recursos, visando</w:t>
      </w:r>
      <w:r w:rsidR="003251D9" w:rsidRPr="00A92A3E">
        <w:rPr>
          <w:rFonts w:asciiTheme="minorHAnsi" w:hAnsiTheme="minorHAnsi" w:cstheme="minorHAnsi"/>
          <w:bCs/>
          <w:sz w:val="16"/>
          <w:szCs w:val="16"/>
        </w:rPr>
        <w:t xml:space="preserve"> minimamente o atendimento aos requisitos </w:t>
      </w:r>
      <w:r w:rsidR="004C5756" w:rsidRPr="00A92A3E">
        <w:rPr>
          <w:rFonts w:asciiTheme="minorHAnsi" w:hAnsiTheme="minorHAnsi" w:cstheme="minorHAnsi"/>
          <w:bCs/>
          <w:sz w:val="16"/>
          <w:szCs w:val="16"/>
        </w:rPr>
        <w:t xml:space="preserve">legais, em especial </w:t>
      </w:r>
      <w:r w:rsidR="003251D9" w:rsidRPr="00A92A3E">
        <w:rPr>
          <w:rFonts w:asciiTheme="minorHAnsi" w:hAnsiTheme="minorHAnsi" w:cstheme="minorHAnsi"/>
          <w:bCs/>
          <w:sz w:val="16"/>
          <w:szCs w:val="16"/>
        </w:rPr>
        <w:t>da Resolução CMN nº 4.963/2021</w:t>
      </w:r>
      <w:r w:rsidR="003433F0" w:rsidRPr="00A92A3E">
        <w:rPr>
          <w:rFonts w:asciiTheme="minorHAnsi" w:hAnsiTheme="minorHAnsi" w:cstheme="minorHAnsi"/>
          <w:bCs/>
          <w:sz w:val="16"/>
          <w:szCs w:val="16"/>
        </w:rPr>
        <w:t xml:space="preserve"> e Portaria MTP nº 1.467/2022</w:t>
      </w:r>
      <w:r w:rsidRPr="00A92A3E">
        <w:rPr>
          <w:rFonts w:asciiTheme="minorHAnsi" w:hAnsiTheme="minorHAnsi" w:cstheme="minorHAnsi"/>
          <w:bCs/>
          <w:sz w:val="16"/>
          <w:szCs w:val="16"/>
        </w:rPr>
        <w:t>.</w:t>
      </w:r>
    </w:p>
    <w:p w14:paraId="74E484BC" w14:textId="77777777" w:rsidR="00500AE2" w:rsidRPr="00A92A3E" w:rsidRDefault="00500AE2" w:rsidP="00C8521E">
      <w:pPr>
        <w:pStyle w:val="Ttulo1"/>
        <w:rPr>
          <w:rFonts w:asciiTheme="minorHAnsi" w:hAnsiTheme="minorHAnsi" w:cstheme="minorHAnsi"/>
          <w:sz w:val="16"/>
          <w:szCs w:val="16"/>
        </w:rPr>
      </w:pPr>
      <w:bookmarkStart w:id="8" w:name="_Toc118105127"/>
      <w:bookmarkStart w:id="9" w:name="_Toc150330288"/>
      <w:r w:rsidRPr="00A92A3E">
        <w:rPr>
          <w:rFonts w:asciiTheme="minorHAnsi" w:hAnsiTheme="minorHAnsi" w:cstheme="minorHAnsi"/>
          <w:sz w:val="16"/>
          <w:szCs w:val="16"/>
        </w:rPr>
        <w:t>CATEGORIZAÇÃO DO RPPS</w:t>
      </w:r>
      <w:bookmarkEnd w:id="8"/>
      <w:bookmarkEnd w:id="9"/>
    </w:p>
    <w:p w14:paraId="4BE41111" w14:textId="4253D7FB" w:rsidR="00316248" w:rsidRPr="00A92A3E" w:rsidRDefault="0098769D" w:rsidP="00500AE2">
      <w:pPr>
        <w:rPr>
          <w:rFonts w:asciiTheme="minorHAnsi" w:hAnsiTheme="minorHAnsi" w:cstheme="minorHAnsi"/>
          <w:sz w:val="16"/>
          <w:szCs w:val="16"/>
        </w:rPr>
      </w:pPr>
      <w:r w:rsidRPr="00A92A3E">
        <w:rPr>
          <w:rFonts w:asciiTheme="minorHAnsi" w:hAnsiTheme="minorHAnsi" w:cstheme="minorHAnsi"/>
          <w:sz w:val="16"/>
          <w:szCs w:val="16"/>
        </w:rPr>
        <w:t xml:space="preserve">Segundo o disposto na Instrução CVM nº 554, de </w:t>
      </w:r>
      <w:r w:rsidR="00E57A98" w:rsidRPr="00A92A3E">
        <w:rPr>
          <w:rFonts w:asciiTheme="minorHAnsi" w:hAnsiTheme="minorHAnsi" w:cstheme="minorHAnsi"/>
          <w:sz w:val="16"/>
          <w:szCs w:val="16"/>
        </w:rPr>
        <w:t xml:space="preserve">17 de dezembro de 2014, </w:t>
      </w:r>
      <w:r w:rsidR="00DB132C" w:rsidRPr="00A92A3E">
        <w:rPr>
          <w:rFonts w:asciiTheme="minorHAnsi" w:hAnsiTheme="minorHAnsi" w:cstheme="minorHAnsi"/>
          <w:sz w:val="16"/>
          <w:szCs w:val="16"/>
        </w:rPr>
        <w:t xml:space="preserve">em seu art. </w:t>
      </w:r>
      <w:r w:rsidR="00A60DA2" w:rsidRPr="00A92A3E">
        <w:rPr>
          <w:rFonts w:asciiTheme="minorHAnsi" w:hAnsiTheme="minorHAnsi" w:cstheme="minorHAnsi"/>
          <w:sz w:val="16"/>
          <w:szCs w:val="16"/>
        </w:rPr>
        <w:t xml:space="preserve">9º </w:t>
      </w:r>
      <w:r w:rsidR="00A549CF" w:rsidRPr="00A92A3E">
        <w:rPr>
          <w:rFonts w:asciiTheme="minorHAnsi" w:hAnsiTheme="minorHAnsi" w:cstheme="minorHAnsi"/>
          <w:sz w:val="16"/>
          <w:szCs w:val="16"/>
        </w:rPr>
        <w:t>“</w:t>
      </w:r>
      <w:r w:rsidR="00A60DA2" w:rsidRPr="00A92A3E">
        <w:rPr>
          <w:rFonts w:asciiTheme="minorHAnsi" w:hAnsiTheme="minorHAnsi" w:cstheme="minorHAnsi"/>
          <w:sz w:val="16"/>
          <w:szCs w:val="16"/>
        </w:rPr>
        <w:t>C</w:t>
      </w:r>
      <w:r w:rsidR="00A549CF" w:rsidRPr="00A92A3E">
        <w:rPr>
          <w:rFonts w:asciiTheme="minorHAnsi" w:hAnsiTheme="minorHAnsi" w:cstheme="minorHAnsi"/>
          <w:sz w:val="16"/>
          <w:szCs w:val="16"/>
        </w:rPr>
        <w:t>”</w:t>
      </w:r>
      <w:r w:rsidR="00A60DA2" w:rsidRPr="00A92A3E">
        <w:rPr>
          <w:rFonts w:asciiTheme="minorHAnsi" w:hAnsiTheme="minorHAnsi" w:cstheme="minorHAnsi"/>
          <w:sz w:val="16"/>
          <w:szCs w:val="16"/>
        </w:rPr>
        <w:t>, os Regimes Próprios de Previdência Social</w:t>
      </w:r>
      <w:r w:rsidR="00992BDC" w:rsidRPr="00A92A3E">
        <w:rPr>
          <w:rFonts w:asciiTheme="minorHAnsi" w:hAnsiTheme="minorHAnsi" w:cstheme="minorHAnsi"/>
          <w:sz w:val="16"/>
          <w:szCs w:val="16"/>
        </w:rPr>
        <w:t xml:space="preserve"> </w:t>
      </w:r>
      <w:r w:rsidR="00014210" w:rsidRPr="00A92A3E">
        <w:rPr>
          <w:rFonts w:asciiTheme="minorHAnsi" w:hAnsiTheme="minorHAnsi" w:cstheme="minorHAnsi"/>
          <w:sz w:val="16"/>
          <w:szCs w:val="16"/>
        </w:rPr>
        <w:t xml:space="preserve">– RPPS </w:t>
      </w:r>
      <w:r w:rsidR="00992BDC" w:rsidRPr="00A92A3E">
        <w:rPr>
          <w:rFonts w:asciiTheme="minorHAnsi" w:hAnsiTheme="minorHAnsi" w:cstheme="minorHAnsi"/>
          <w:sz w:val="16"/>
          <w:szCs w:val="16"/>
        </w:rPr>
        <w:t>serão considerados Investidores Profissionais ou Investidores Qualificados apenas se reconhecidos como tais conforme regulamentação específica</w:t>
      </w:r>
      <w:r w:rsidR="00E362B9" w:rsidRPr="00A92A3E">
        <w:rPr>
          <w:rFonts w:asciiTheme="minorHAnsi" w:hAnsiTheme="minorHAnsi" w:cstheme="minorHAnsi"/>
          <w:sz w:val="16"/>
          <w:szCs w:val="16"/>
        </w:rPr>
        <w:t>.</w:t>
      </w:r>
    </w:p>
    <w:p w14:paraId="222C07AB" w14:textId="04415BA3" w:rsidR="0086682F" w:rsidRPr="00A92A3E" w:rsidRDefault="00E362B9" w:rsidP="0086682F">
      <w:pPr>
        <w:rPr>
          <w:rFonts w:asciiTheme="minorHAnsi" w:hAnsiTheme="minorHAnsi" w:cstheme="minorHAnsi"/>
          <w:sz w:val="16"/>
          <w:szCs w:val="16"/>
        </w:rPr>
      </w:pPr>
      <w:r w:rsidRPr="00A92A3E">
        <w:rPr>
          <w:rFonts w:asciiTheme="minorHAnsi" w:hAnsiTheme="minorHAnsi" w:cstheme="minorHAnsi"/>
          <w:sz w:val="16"/>
          <w:szCs w:val="16"/>
        </w:rPr>
        <w:t xml:space="preserve">A regulamentação específica mencionada no referido art. 9º </w:t>
      </w:r>
      <w:r w:rsidR="00014210" w:rsidRPr="00A92A3E">
        <w:rPr>
          <w:rFonts w:asciiTheme="minorHAnsi" w:hAnsiTheme="minorHAnsi" w:cstheme="minorHAnsi"/>
          <w:sz w:val="16"/>
          <w:szCs w:val="16"/>
        </w:rPr>
        <w:t>“</w:t>
      </w:r>
      <w:r w:rsidRPr="00A92A3E">
        <w:rPr>
          <w:rFonts w:asciiTheme="minorHAnsi" w:hAnsiTheme="minorHAnsi" w:cstheme="minorHAnsi"/>
          <w:sz w:val="16"/>
          <w:szCs w:val="16"/>
        </w:rPr>
        <w:t>C</w:t>
      </w:r>
      <w:r w:rsidR="00014210" w:rsidRPr="00A92A3E">
        <w:rPr>
          <w:rFonts w:asciiTheme="minorHAnsi" w:hAnsiTheme="minorHAnsi" w:cstheme="minorHAnsi"/>
          <w:sz w:val="16"/>
          <w:szCs w:val="16"/>
        </w:rPr>
        <w:t>”</w:t>
      </w:r>
      <w:r w:rsidRPr="00A92A3E">
        <w:rPr>
          <w:rFonts w:asciiTheme="minorHAnsi" w:hAnsiTheme="minorHAnsi" w:cstheme="minorHAnsi"/>
          <w:sz w:val="16"/>
          <w:szCs w:val="16"/>
        </w:rPr>
        <w:t xml:space="preserve"> da Instrução CVM nº 554/2014</w:t>
      </w:r>
      <w:r w:rsidR="00AD4384" w:rsidRPr="00A92A3E">
        <w:rPr>
          <w:rFonts w:asciiTheme="minorHAnsi" w:hAnsiTheme="minorHAnsi" w:cstheme="minorHAnsi"/>
          <w:sz w:val="16"/>
          <w:szCs w:val="16"/>
        </w:rPr>
        <w:t xml:space="preserve"> foi apresentada através da </w:t>
      </w:r>
      <w:r w:rsidR="00500AE2" w:rsidRPr="00A92A3E">
        <w:rPr>
          <w:rFonts w:asciiTheme="minorHAnsi" w:hAnsiTheme="minorHAnsi" w:cstheme="minorHAnsi"/>
          <w:sz w:val="16"/>
          <w:szCs w:val="16"/>
        </w:rPr>
        <w:t>Portaria</w:t>
      </w:r>
      <w:r w:rsidR="003C1CFB" w:rsidRPr="00A92A3E">
        <w:rPr>
          <w:rFonts w:asciiTheme="minorHAnsi" w:hAnsiTheme="minorHAnsi" w:cstheme="minorHAnsi"/>
          <w:sz w:val="16"/>
          <w:szCs w:val="16"/>
        </w:rPr>
        <w:t xml:space="preserve"> MTP</w:t>
      </w:r>
      <w:r w:rsidR="00500AE2" w:rsidRPr="00A92A3E">
        <w:rPr>
          <w:rFonts w:asciiTheme="minorHAnsi" w:hAnsiTheme="minorHAnsi" w:cstheme="minorHAnsi"/>
          <w:sz w:val="16"/>
          <w:szCs w:val="16"/>
        </w:rPr>
        <w:t xml:space="preserve"> nº 1.467/2022, </w:t>
      </w:r>
      <w:r w:rsidR="00DA536E" w:rsidRPr="00A92A3E">
        <w:rPr>
          <w:rFonts w:asciiTheme="minorHAnsi" w:hAnsiTheme="minorHAnsi" w:cstheme="minorHAnsi"/>
          <w:sz w:val="16"/>
          <w:szCs w:val="16"/>
        </w:rPr>
        <w:t xml:space="preserve">a qual define que </w:t>
      </w:r>
      <w:r w:rsidR="00500AE2" w:rsidRPr="00A92A3E">
        <w:rPr>
          <w:rFonts w:asciiTheme="minorHAnsi" w:hAnsiTheme="minorHAnsi" w:cstheme="minorHAnsi"/>
          <w:sz w:val="16"/>
          <w:szCs w:val="16"/>
        </w:rPr>
        <w:t xml:space="preserve">os Regimes Próprios de Previdência Social </w:t>
      </w:r>
      <w:r w:rsidR="00014210" w:rsidRPr="00A92A3E">
        <w:rPr>
          <w:rFonts w:asciiTheme="minorHAnsi" w:hAnsiTheme="minorHAnsi" w:cstheme="minorHAnsi"/>
          <w:sz w:val="16"/>
          <w:szCs w:val="16"/>
        </w:rPr>
        <w:t xml:space="preserve">– RPPS </w:t>
      </w:r>
      <w:r w:rsidR="00500AE2" w:rsidRPr="00A92A3E">
        <w:rPr>
          <w:rFonts w:asciiTheme="minorHAnsi" w:hAnsiTheme="minorHAnsi" w:cstheme="minorHAnsi"/>
          <w:sz w:val="16"/>
          <w:szCs w:val="16"/>
        </w:rPr>
        <w:t xml:space="preserve">classificados como Investidores Qualificados deverão apresentar </w:t>
      </w:r>
      <w:r w:rsidR="00500AE2" w:rsidRPr="00A92A3E">
        <w:rPr>
          <w:rFonts w:asciiTheme="minorHAnsi" w:hAnsiTheme="minorHAnsi" w:cstheme="minorHAnsi"/>
          <w:b/>
          <w:bCs/>
          <w:sz w:val="16"/>
          <w:szCs w:val="16"/>
        </w:rPr>
        <w:t>cumulativamente</w:t>
      </w:r>
      <w:r w:rsidR="00500AE2" w:rsidRPr="00A92A3E">
        <w:rPr>
          <w:rFonts w:asciiTheme="minorHAnsi" w:hAnsiTheme="minorHAnsi" w:cstheme="minorHAnsi"/>
          <w:sz w:val="16"/>
          <w:szCs w:val="16"/>
        </w:rPr>
        <w:t>:</w:t>
      </w:r>
    </w:p>
    <w:p w14:paraId="0947991F" w14:textId="77777777" w:rsidR="0086682F" w:rsidRPr="00A92A3E" w:rsidRDefault="00500AE2" w:rsidP="00F5523C">
      <w:pPr>
        <w:pStyle w:val="PargrafodaLista"/>
        <w:numPr>
          <w:ilvl w:val="0"/>
          <w:numId w:val="29"/>
        </w:numPr>
        <w:rPr>
          <w:rFonts w:asciiTheme="minorHAnsi" w:hAnsiTheme="minorHAnsi" w:cstheme="minorHAnsi"/>
          <w:sz w:val="16"/>
          <w:szCs w:val="16"/>
        </w:rPr>
      </w:pPr>
      <w:r w:rsidRPr="00A92A3E">
        <w:rPr>
          <w:rFonts w:asciiTheme="minorHAnsi" w:hAnsiTheme="minorHAnsi" w:cstheme="minorHAnsi"/>
          <w:sz w:val="16"/>
          <w:szCs w:val="16"/>
        </w:rPr>
        <w:t>Possua recursos aplicados comprovados por meio do Demonstrativo das Aplicações e Investimentos dos Recursos – DAIR, o montante igual ou superior à R$ 10.000.000,00 (dez milhões de reais)</w:t>
      </w:r>
      <w:r w:rsidR="00D2598D" w:rsidRPr="00A92A3E">
        <w:rPr>
          <w:rFonts w:asciiTheme="minorHAnsi" w:hAnsiTheme="minorHAnsi" w:cstheme="minorHAnsi"/>
          <w:sz w:val="16"/>
          <w:szCs w:val="16"/>
        </w:rPr>
        <w:t xml:space="preserve"> e</w:t>
      </w:r>
    </w:p>
    <w:p w14:paraId="4F05C517" w14:textId="77777777" w:rsidR="0086682F" w:rsidRPr="00A92A3E" w:rsidRDefault="0086682F" w:rsidP="0086682F">
      <w:pPr>
        <w:pStyle w:val="PargrafodaLista"/>
        <w:rPr>
          <w:rFonts w:asciiTheme="minorHAnsi" w:hAnsiTheme="minorHAnsi" w:cstheme="minorHAnsi"/>
          <w:sz w:val="16"/>
          <w:szCs w:val="16"/>
        </w:rPr>
      </w:pPr>
    </w:p>
    <w:p w14:paraId="227DD061" w14:textId="59AF4A4C" w:rsidR="00500AE2" w:rsidRPr="00A92A3E" w:rsidRDefault="00500AE2" w:rsidP="00F5523C">
      <w:pPr>
        <w:pStyle w:val="PargrafodaLista"/>
        <w:numPr>
          <w:ilvl w:val="0"/>
          <w:numId w:val="29"/>
        </w:numPr>
        <w:rPr>
          <w:rFonts w:asciiTheme="minorHAnsi" w:hAnsiTheme="minorHAnsi" w:cstheme="minorHAnsi"/>
          <w:sz w:val="16"/>
          <w:szCs w:val="16"/>
        </w:rPr>
      </w:pPr>
      <w:r w:rsidRPr="00A92A3E">
        <w:rPr>
          <w:rFonts w:asciiTheme="minorHAnsi" w:hAnsiTheme="minorHAnsi" w:cstheme="minorHAnsi"/>
          <w:sz w:val="16"/>
          <w:szCs w:val="16"/>
        </w:rPr>
        <w:t>Tenha aderido ao Programa de Certificação Institucional Pró-Gestão e</w:t>
      </w:r>
      <w:r w:rsidR="00D2598D"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obtido a </w:t>
      </w:r>
      <w:r w:rsidR="00D2598D" w:rsidRPr="00A92A3E">
        <w:rPr>
          <w:rFonts w:asciiTheme="minorHAnsi" w:hAnsiTheme="minorHAnsi" w:cstheme="minorHAnsi"/>
          <w:sz w:val="16"/>
          <w:szCs w:val="16"/>
        </w:rPr>
        <w:t>C</w:t>
      </w:r>
      <w:r w:rsidRPr="00A92A3E">
        <w:rPr>
          <w:rFonts w:asciiTheme="minorHAnsi" w:hAnsiTheme="minorHAnsi" w:cstheme="minorHAnsi"/>
          <w:sz w:val="16"/>
          <w:szCs w:val="16"/>
        </w:rPr>
        <w:t xml:space="preserve">ertificação </w:t>
      </w:r>
      <w:r w:rsidR="00D2598D" w:rsidRPr="00A92A3E">
        <w:rPr>
          <w:rFonts w:asciiTheme="minorHAnsi" w:hAnsiTheme="minorHAnsi" w:cstheme="minorHAnsi"/>
          <w:sz w:val="16"/>
          <w:szCs w:val="16"/>
        </w:rPr>
        <w:t>I</w:t>
      </w:r>
      <w:r w:rsidRPr="00A92A3E">
        <w:rPr>
          <w:rFonts w:asciiTheme="minorHAnsi" w:hAnsiTheme="minorHAnsi" w:cstheme="minorHAnsi"/>
          <w:sz w:val="16"/>
          <w:szCs w:val="16"/>
        </w:rPr>
        <w:t xml:space="preserve">nstitucional em um dos </w:t>
      </w:r>
      <w:r w:rsidR="00D2598D" w:rsidRPr="00A92A3E">
        <w:rPr>
          <w:rFonts w:asciiTheme="minorHAnsi" w:hAnsiTheme="minorHAnsi" w:cstheme="minorHAnsi"/>
          <w:sz w:val="16"/>
          <w:szCs w:val="16"/>
        </w:rPr>
        <w:t>N</w:t>
      </w:r>
      <w:r w:rsidRPr="00A92A3E">
        <w:rPr>
          <w:rFonts w:asciiTheme="minorHAnsi" w:hAnsiTheme="minorHAnsi" w:cstheme="minorHAnsi"/>
          <w:sz w:val="16"/>
          <w:szCs w:val="16"/>
        </w:rPr>
        <w:t xml:space="preserve">íveis de </w:t>
      </w:r>
      <w:r w:rsidR="00D2598D" w:rsidRPr="00A92A3E">
        <w:rPr>
          <w:rFonts w:asciiTheme="minorHAnsi" w:hAnsiTheme="minorHAnsi" w:cstheme="minorHAnsi"/>
          <w:sz w:val="16"/>
          <w:szCs w:val="16"/>
        </w:rPr>
        <w:t>A</w:t>
      </w:r>
      <w:r w:rsidRPr="00A92A3E">
        <w:rPr>
          <w:rFonts w:asciiTheme="minorHAnsi" w:hAnsiTheme="minorHAnsi" w:cstheme="minorHAnsi"/>
          <w:sz w:val="16"/>
          <w:szCs w:val="16"/>
        </w:rPr>
        <w:t>derência.</w:t>
      </w:r>
    </w:p>
    <w:p w14:paraId="24BBDD72" w14:textId="68E5188C" w:rsidR="0086682F" w:rsidRPr="00A92A3E" w:rsidRDefault="00500AE2" w:rsidP="0086682F">
      <w:pPr>
        <w:rPr>
          <w:rFonts w:asciiTheme="minorHAnsi" w:hAnsiTheme="minorHAnsi" w:cstheme="minorHAnsi"/>
          <w:sz w:val="16"/>
          <w:szCs w:val="16"/>
        </w:rPr>
      </w:pPr>
      <w:r w:rsidRPr="00A92A3E">
        <w:rPr>
          <w:rFonts w:asciiTheme="minorHAnsi" w:hAnsiTheme="minorHAnsi" w:cstheme="minorHAnsi"/>
          <w:sz w:val="16"/>
          <w:szCs w:val="16"/>
        </w:rPr>
        <w:t xml:space="preserve">Para obter a classificação de Investidor Profissional, o Regime Próprio de Previdência Social </w:t>
      </w:r>
      <w:r w:rsidR="00D64955" w:rsidRPr="00A92A3E">
        <w:rPr>
          <w:rFonts w:asciiTheme="minorHAnsi" w:hAnsiTheme="minorHAnsi" w:cstheme="minorHAnsi"/>
          <w:sz w:val="16"/>
          <w:szCs w:val="16"/>
        </w:rPr>
        <w:t xml:space="preserve">– RPPS </w:t>
      </w:r>
      <w:r w:rsidRPr="00A92A3E">
        <w:rPr>
          <w:rFonts w:asciiTheme="minorHAnsi" w:hAnsiTheme="minorHAnsi" w:cstheme="minorHAnsi"/>
          <w:sz w:val="16"/>
          <w:szCs w:val="16"/>
        </w:rPr>
        <w:t xml:space="preserve">fica obrigado a comprovar </w:t>
      </w:r>
      <w:r w:rsidRPr="00A92A3E">
        <w:rPr>
          <w:rFonts w:asciiTheme="minorHAnsi" w:hAnsiTheme="minorHAnsi" w:cstheme="minorHAnsi"/>
          <w:b/>
          <w:bCs/>
          <w:sz w:val="16"/>
          <w:szCs w:val="16"/>
        </w:rPr>
        <w:t>cumulativa</w:t>
      </w:r>
      <w:r w:rsidR="00B10C36" w:rsidRPr="00A92A3E">
        <w:rPr>
          <w:rFonts w:asciiTheme="minorHAnsi" w:hAnsiTheme="minorHAnsi" w:cstheme="minorHAnsi"/>
          <w:b/>
          <w:bCs/>
          <w:sz w:val="16"/>
          <w:szCs w:val="16"/>
        </w:rPr>
        <w:t>mente</w:t>
      </w:r>
      <w:r w:rsidR="006B7BE6" w:rsidRPr="00A92A3E">
        <w:rPr>
          <w:rFonts w:asciiTheme="minorHAnsi" w:hAnsiTheme="minorHAnsi" w:cstheme="minorHAnsi"/>
          <w:sz w:val="16"/>
          <w:szCs w:val="16"/>
        </w:rPr>
        <w:t>:</w:t>
      </w:r>
    </w:p>
    <w:p w14:paraId="28C2C2C9" w14:textId="77777777" w:rsidR="003D70FC" w:rsidRPr="00A92A3E" w:rsidRDefault="00B10C36" w:rsidP="00F5523C">
      <w:pPr>
        <w:pStyle w:val="PargrafodaLista"/>
        <w:numPr>
          <w:ilvl w:val="0"/>
          <w:numId w:val="30"/>
        </w:numPr>
        <w:rPr>
          <w:rFonts w:asciiTheme="minorHAnsi" w:hAnsiTheme="minorHAnsi" w:cstheme="minorHAnsi"/>
          <w:sz w:val="16"/>
          <w:szCs w:val="16"/>
        </w:rPr>
      </w:pPr>
      <w:r w:rsidRPr="00A92A3E">
        <w:rPr>
          <w:rFonts w:asciiTheme="minorHAnsi" w:hAnsiTheme="minorHAnsi" w:cstheme="minorHAnsi"/>
          <w:sz w:val="16"/>
          <w:szCs w:val="16"/>
        </w:rPr>
        <w:t xml:space="preserve">Possua recursos aplicados comprovados por meio de Demonstrativo das Aplicações e Investimentos dos Recursos – DAIR, o montante igual ou superior à R$ </w:t>
      </w:r>
      <w:r w:rsidR="00B26340" w:rsidRPr="00A92A3E">
        <w:rPr>
          <w:rFonts w:asciiTheme="minorHAnsi" w:hAnsiTheme="minorHAnsi" w:cstheme="minorHAnsi"/>
          <w:sz w:val="16"/>
          <w:szCs w:val="16"/>
        </w:rPr>
        <w:t>500.000.000,00 (quinhentos milhões de reais) e</w:t>
      </w:r>
    </w:p>
    <w:p w14:paraId="614154BA" w14:textId="77777777" w:rsidR="003D70FC" w:rsidRPr="00A92A3E" w:rsidRDefault="003D70FC" w:rsidP="003D70FC">
      <w:pPr>
        <w:pStyle w:val="PargrafodaLista"/>
        <w:rPr>
          <w:rFonts w:asciiTheme="minorHAnsi" w:hAnsiTheme="minorHAnsi" w:cstheme="minorHAnsi"/>
          <w:sz w:val="16"/>
          <w:szCs w:val="16"/>
        </w:rPr>
      </w:pPr>
    </w:p>
    <w:p w14:paraId="4FAFD9FA" w14:textId="18EC74A6" w:rsidR="00500AE2" w:rsidRPr="00A92A3E" w:rsidRDefault="00B26340" w:rsidP="00F5523C">
      <w:pPr>
        <w:pStyle w:val="PargrafodaLista"/>
        <w:numPr>
          <w:ilvl w:val="0"/>
          <w:numId w:val="30"/>
        </w:numPr>
        <w:rPr>
          <w:rFonts w:asciiTheme="minorHAnsi" w:hAnsiTheme="minorHAnsi" w:cstheme="minorHAnsi"/>
          <w:sz w:val="16"/>
          <w:szCs w:val="16"/>
        </w:rPr>
      </w:pPr>
      <w:r w:rsidRPr="00A92A3E">
        <w:rPr>
          <w:rFonts w:asciiTheme="minorHAnsi" w:hAnsiTheme="minorHAnsi" w:cstheme="minorHAnsi"/>
          <w:sz w:val="16"/>
          <w:szCs w:val="16"/>
        </w:rPr>
        <w:t>T</w:t>
      </w:r>
      <w:r w:rsidR="00500AE2" w:rsidRPr="00A92A3E">
        <w:rPr>
          <w:rFonts w:asciiTheme="minorHAnsi" w:hAnsiTheme="minorHAnsi" w:cstheme="minorHAnsi"/>
          <w:sz w:val="16"/>
          <w:szCs w:val="16"/>
        </w:rPr>
        <w:t xml:space="preserve">enha aderido ao Programa de Certificação Institucional Pró-Gestão e obtido a </w:t>
      </w:r>
      <w:r w:rsidR="00F5523C" w:rsidRPr="00A92A3E">
        <w:rPr>
          <w:rFonts w:asciiTheme="minorHAnsi" w:hAnsiTheme="minorHAnsi" w:cstheme="minorHAnsi"/>
          <w:sz w:val="16"/>
          <w:szCs w:val="16"/>
        </w:rPr>
        <w:t>C</w:t>
      </w:r>
      <w:r w:rsidR="00500AE2" w:rsidRPr="00A92A3E">
        <w:rPr>
          <w:rFonts w:asciiTheme="minorHAnsi" w:hAnsiTheme="minorHAnsi" w:cstheme="minorHAnsi"/>
          <w:sz w:val="16"/>
          <w:szCs w:val="16"/>
        </w:rPr>
        <w:t xml:space="preserve">ertificação </w:t>
      </w:r>
      <w:r w:rsidR="00F5523C" w:rsidRPr="00A92A3E">
        <w:rPr>
          <w:rFonts w:asciiTheme="minorHAnsi" w:hAnsiTheme="minorHAnsi" w:cstheme="minorHAnsi"/>
          <w:sz w:val="16"/>
          <w:szCs w:val="16"/>
        </w:rPr>
        <w:t>I</w:t>
      </w:r>
      <w:r w:rsidR="00500AE2" w:rsidRPr="00A92A3E">
        <w:rPr>
          <w:rFonts w:asciiTheme="minorHAnsi" w:hAnsiTheme="minorHAnsi" w:cstheme="minorHAnsi"/>
          <w:sz w:val="16"/>
          <w:szCs w:val="16"/>
        </w:rPr>
        <w:t xml:space="preserve">nstitucional Nível IV de </w:t>
      </w:r>
      <w:r w:rsidR="00F5523C" w:rsidRPr="00A92A3E">
        <w:rPr>
          <w:rFonts w:asciiTheme="minorHAnsi" w:hAnsiTheme="minorHAnsi" w:cstheme="minorHAnsi"/>
          <w:sz w:val="16"/>
          <w:szCs w:val="16"/>
        </w:rPr>
        <w:t>Aderência</w:t>
      </w:r>
      <w:r w:rsidR="00500AE2" w:rsidRPr="00A92A3E">
        <w:rPr>
          <w:rFonts w:asciiTheme="minorHAnsi" w:hAnsiTheme="minorHAnsi" w:cstheme="minorHAnsi"/>
          <w:sz w:val="16"/>
          <w:szCs w:val="16"/>
        </w:rPr>
        <w:t>.</w:t>
      </w:r>
    </w:p>
    <w:p w14:paraId="284A2343" w14:textId="26C498ED"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Caso o </w:t>
      </w:r>
      <w:r w:rsidR="009B1859" w:rsidRPr="00A92A3E">
        <w:rPr>
          <w:rFonts w:asciiTheme="minorHAnsi" w:hAnsiTheme="minorHAnsi" w:cstheme="minorHAnsi"/>
          <w:sz w:val="16"/>
          <w:szCs w:val="16"/>
        </w:rPr>
        <w:t>Regime Próprio de Previdência Social</w:t>
      </w:r>
      <w:r w:rsidRPr="00A92A3E">
        <w:rPr>
          <w:rFonts w:asciiTheme="minorHAnsi" w:hAnsiTheme="minorHAnsi" w:cstheme="minorHAnsi"/>
          <w:sz w:val="16"/>
          <w:szCs w:val="16"/>
        </w:rPr>
        <w:t xml:space="preserve"> </w:t>
      </w:r>
      <w:r w:rsidR="00F5523C" w:rsidRPr="00A92A3E">
        <w:rPr>
          <w:rFonts w:asciiTheme="minorHAnsi" w:hAnsiTheme="minorHAnsi" w:cstheme="minorHAnsi"/>
          <w:sz w:val="16"/>
          <w:szCs w:val="16"/>
        </w:rPr>
        <w:t xml:space="preserve">– RPPS </w:t>
      </w:r>
      <w:r w:rsidRPr="00A92A3E">
        <w:rPr>
          <w:rFonts w:asciiTheme="minorHAnsi" w:hAnsiTheme="minorHAnsi" w:cstheme="minorHAnsi"/>
          <w:sz w:val="16"/>
          <w:szCs w:val="16"/>
        </w:rPr>
        <w:t xml:space="preserve">não cumpra os requisitos </w:t>
      </w:r>
      <w:r w:rsidR="009B1859" w:rsidRPr="00A92A3E">
        <w:rPr>
          <w:rFonts w:asciiTheme="minorHAnsi" w:hAnsiTheme="minorHAnsi" w:cstheme="minorHAnsi"/>
          <w:sz w:val="16"/>
          <w:szCs w:val="16"/>
        </w:rPr>
        <w:t xml:space="preserve">cumulativos </w:t>
      </w:r>
      <w:r w:rsidRPr="00A92A3E">
        <w:rPr>
          <w:rFonts w:asciiTheme="minorHAnsi" w:hAnsiTheme="minorHAnsi" w:cstheme="minorHAnsi"/>
          <w:sz w:val="16"/>
          <w:szCs w:val="16"/>
        </w:rPr>
        <w:t xml:space="preserve">citados acima, este será classificado como </w:t>
      </w:r>
      <w:r w:rsidR="00F5523C" w:rsidRPr="00A92A3E">
        <w:rPr>
          <w:rFonts w:asciiTheme="minorHAnsi" w:hAnsiTheme="minorHAnsi" w:cstheme="minorHAnsi"/>
          <w:b/>
          <w:bCs/>
          <w:sz w:val="16"/>
          <w:szCs w:val="16"/>
        </w:rPr>
        <w:t>INVESTIDOR COMUM</w:t>
      </w:r>
      <w:r w:rsidRPr="00A92A3E">
        <w:rPr>
          <w:rFonts w:asciiTheme="minorHAnsi" w:hAnsiTheme="minorHAnsi" w:cstheme="minorHAnsi"/>
          <w:sz w:val="16"/>
          <w:szCs w:val="16"/>
        </w:rPr>
        <w:t>.</w:t>
      </w:r>
    </w:p>
    <w:p w14:paraId="3F379A35" w14:textId="23DEFD0A" w:rsidR="00500AE2"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Para a identificação da Categorização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consideramos as seguintes informações:</w:t>
      </w:r>
    </w:p>
    <w:p w14:paraId="3C9E325D" w14:textId="77777777" w:rsidR="004342F3" w:rsidRPr="00A92A3E" w:rsidRDefault="004342F3" w:rsidP="00500AE2">
      <w:pPr>
        <w:rPr>
          <w:rFonts w:asciiTheme="minorHAnsi" w:hAnsiTheme="minorHAnsi" w:cs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4"/>
      </w:tblGrid>
      <w:tr w:rsidR="00A92A3E" w:rsidRPr="00A92A3E" w14:paraId="09AEB326" w14:textId="77777777" w:rsidTr="00184B6A">
        <w:trPr>
          <w:trHeight w:val="465"/>
          <w:jc w:val="center"/>
        </w:trPr>
        <w:tc>
          <w:tcPr>
            <w:tcW w:w="10489" w:type="dxa"/>
            <w:tcMar>
              <w:top w:w="0" w:type="dxa"/>
              <w:left w:w="108" w:type="dxa"/>
              <w:bottom w:w="0" w:type="dxa"/>
              <w:right w:w="108" w:type="dxa"/>
            </w:tcMar>
            <w:vAlign w:val="center"/>
            <w:hideMark/>
          </w:tcPr>
          <w:p w14:paraId="478D1014" w14:textId="77777777" w:rsidR="00A92A3E" w:rsidRPr="00A92A3E" w:rsidRDefault="00A92A3E" w:rsidP="00184B6A">
            <w:pPr>
              <w:pStyle w:val="NormalWeb"/>
              <w:spacing w:after="0" w:afterAutospacing="0"/>
              <w:jc w:val="center"/>
              <w:rPr>
                <w:rFonts w:asciiTheme="minorHAnsi" w:hAnsiTheme="minorHAnsi" w:cstheme="minorHAnsi"/>
                <w:sz w:val="16"/>
                <w:szCs w:val="16"/>
              </w:rPr>
            </w:pPr>
            <w:r w:rsidRPr="00A92A3E">
              <w:rPr>
                <w:rFonts w:asciiTheme="minorHAnsi" w:hAnsiTheme="minorHAnsi" w:cstheme="minorHAnsi"/>
                <w:b/>
                <w:bCs/>
                <w:sz w:val="16"/>
                <w:szCs w:val="16"/>
              </w:rPr>
              <w:t xml:space="preserve">Análise do Perfil </w:t>
            </w:r>
          </w:p>
        </w:tc>
      </w:tr>
      <w:tr w:rsidR="00A92A3E" w:rsidRPr="00A92A3E" w14:paraId="4DD0AF6C" w14:textId="77777777" w:rsidTr="00184B6A">
        <w:trPr>
          <w:trHeight w:val="465"/>
          <w:jc w:val="center"/>
        </w:trPr>
        <w:tc>
          <w:tcPr>
            <w:tcW w:w="10489" w:type="dxa"/>
            <w:shd w:val="clear" w:color="auto" w:fill="EDEDED"/>
            <w:tcMar>
              <w:top w:w="0" w:type="dxa"/>
              <w:left w:w="108" w:type="dxa"/>
              <w:bottom w:w="0" w:type="dxa"/>
              <w:right w:w="108" w:type="dxa"/>
            </w:tcMar>
            <w:vAlign w:val="center"/>
            <w:hideMark/>
          </w:tcPr>
          <w:p w14:paraId="0E1B7127" w14:textId="29ACA00D" w:rsidR="00A92A3E" w:rsidRPr="00A92A3E" w:rsidRDefault="00A92A3E" w:rsidP="00184B6A">
            <w:pPr>
              <w:pStyle w:val="NormalWeb"/>
              <w:spacing w:after="0" w:afterAutospacing="0"/>
              <w:rPr>
                <w:rFonts w:asciiTheme="minorHAnsi" w:hAnsiTheme="minorHAnsi" w:cstheme="minorHAnsi"/>
                <w:sz w:val="16"/>
                <w:szCs w:val="16"/>
              </w:rPr>
            </w:pPr>
            <w:r w:rsidRPr="00A92A3E">
              <w:rPr>
                <w:rFonts w:asciiTheme="minorHAnsi" w:hAnsiTheme="minorHAnsi" w:cstheme="minorHAnsi"/>
                <w:b/>
                <w:bCs/>
                <w:color w:val="000000"/>
                <w:sz w:val="16"/>
                <w:szCs w:val="16"/>
              </w:rPr>
              <w:t>Patrimônio Líquido sob gestão (R</w:t>
            </w:r>
            <w:r w:rsidRPr="009A57A3">
              <w:rPr>
                <w:rFonts w:asciiTheme="minorHAnsi" w:hAnsiTheme="minorHAnsi" w:cstheme="minorHAnsi"/>
                <w:b/>
                <w:bCs/>
                <w:color w:val="000000" w:themeColor="text1"/>
                <w:sz w:val="20"/>
                <w:szCs w:val="20"/>
              </w:rPr>
              <w:t xml:space="preserve">$) </w:t>
            </w:r>
            <w:r w:rsidR="00C11277" w:rsidRPr="00C11277">
              <w:rPr>
                <w:rFonts w:ascii="Segoe UI" w:hAnsi="Segoe UI" w:cs="Segoe UI"/>
                <w:b/>
                <w:bCs/>
                <w:color w:val="000000" w:themeColor="text1"/>
                <w:sz w:val="16"/>
                <w:szCs w:val="16"/>
                <w:shd w:val="clear" w:color="auto" w:fill="EFEFEF"/>
              </w:rPr>
              <w:t>352.682.286,07</w:t>
            </w:r>
            <w:r w:rsidR="004342F3">
              <w:rPr>
                <w:rFonts w:ascii="Segoe UI" w:hAnsi="Segoe UI" w:cs="Segoe UI"/>
                <w:b/>
                <w:bCs/>
                <w:color w:val="000000" w:themeColor="text1"/>
                <w:sz w:val="16"/>
                <w:szCs w:val="16"/>
                <w:shd w:val="clear" w:color="auto" w:fill="EFEFEF"/>
              </w:rPr>
              <w:t>, data base setembro de 2023.</w:t>
            </w:r>
          </w:p>
        </w:tc>
      </w:tr>
      <w:tr w:rsidR="00A92A3E" w:rsidRPr="00A92A3E" w14:paraId="7F06F62F" w14:textId="77777777" w:rsidTr="00184B6A">
        <w:trPr>
          <w:trHeight w:val="465"/>
          <w:jc w:val="center"/>
        </w:trPr>
        <w:tc>
          <w:tcPr>
            <w:tcW w:w="10489" w:type="dxa"/>
            <w:tcMar>
              <w:top w:w="0" w:type="dxa"/>
              <w:left w:w="108" w:type="dxa"/>
              <w:bottom w:w="0" w:type="dxa"/>
              <w:right w:w="108" w:type="dxa"/>
            </w:tcMar>
            <w:vAlign w:val="center"/>
            <w:hideMark/>
          </w:tcPr>
          <w:p w14:paraId="59E69C4C" w14:textId="59D6B45E" w:rsidR="00A92A3E" w:rsidRPr="00A92A3E" w:rsidRDefault="00A92A3E" w:rsidP="00184B6A">
            <w:pPr>
              <w:pStyle w:val="NormalWeb"/>
              <w:spacing w:after="0" w:afterAutospacing="0"/>
              <w:rPr>
                <w:rFonts w:asciiTheme="minorHAnsi" w:hAnsiTheme="minorHAnsi" w:cstheme="minorHAnsi"/>
                <w:color w:val="000000"/>
                <w:sz w:val="16"/>
                <w:szCs w:val="16"/>
              </w:rPr>
            </w:pPr>
            <w:r w:rsidRPr="00A92A3E">
              <w:rPr>
                <w:rFonts w:asciiTheme="minorHAnsi" w:hAnsiTheme="minorHAnsi" w:cstheme="minorHAnsi"/>
                <w:b/>
                <w:bCs/>
                <w:color w:val="000000"/>
                <w:sz w:val="16"/>
                <w:szCs w:val="16"/>
              </w:rPr>
              <w:t>Nível de Aderência ao Pró-Gestão</w:t>
            </w:r>
            <w:r w:rsidR="004342F3">
              <w:rPr>
                <w:rFonts w:asciiTheme="minorHAnsi" w:hAnsiTheme="minorHAnsi" w:cstheme="minorHAnsi"/>
                <w:b/>
                <w:bCs/>
                <w:color w:val="000000"/>
                <w:sz w:val="16"/>
                <w:szCs w:val="16"/>
              </w:rPr>
              <w:t xml:space="preserve">: </w:t>
            </w:r>
            <w:r w:rsidRPr="00A92A3E">
              <w:rPr>
                <w:rFonts w:asciiTheme="minorHAnsi" w:hAnsiTheme="minorHAnsi" w:cstheme="minorHAnsi"/>
                <w:b/>
                <w:bCs/>
                <w:color w:val="000000"/>
                <w:sz w:val="16"/>
                <w:szCs w:val="16"/>
              </w:rPr>
              <w:t xml:space="preserve">não implantou ainda </w:t>
            </w:r>
          </w:p>
        </w:tc>
      </w:tr>
      <w:tr w:rsidR="00A92A3E" w:rsidRPr="00A92A3E" w14:paraId="532B1094" w14:textId="77777777" w:rsidTr="00184B6A">
        <w:trPr>
          <w:trHeight w:val="480"/>
          <w:jc w:val="center"/>
        </w:trPr>
        <w:tc>
          <w:tcPr>
            <w:tcW w:w="10489" w:type="dxa"/>
            <w:shd w:val="clear" w:color="auto" w:fill="EDEDED"/>
            <w:tcMar>
              <w:top w:w="0" w:type="dxa"/>
              <w:left w:w="108" w:type="dxa"/>
              <w:bottom w:w="0" w:type="dxa"/>
              <w:right w:w="108" w:type="dxa"/>
            </w:tcMar>
            <w:vAlign w:val="center"/>
            <w:hideMark/>
          </w:tcPr>
          <w:p w14:paraId="491F5C77" w14:textId="43B974DB" w:rsidR="00A92A3E" w:rsidRPr="00A92A3E" w:rsidRDefault="00A92A3E" w:rsidP="00184B6A">
            <w:pPr>
              <w:pStyle w:val="NormalWeb"/>
              <w:spacing w:after="0" w:afterAutospacing="0"/>
              <w:rPr>
                <w:rFonts w:asciiTheme="minorHAnsi" w:hAnsiTheme="minorHAnsi" w:cstheme="minorHAnsi"/>
                <w:color w:val="000000"/>
                <w:sz w:val="16"/>
                <w:szCs w:val="16"/>
              </w:rPr>
            </w:pPr>
            <w:r w:rsidRPr="00A92A3E">
              <w:rPr>
                <w:rFonts w:asciiTheme="minorHAnsi" w:hAnsiTheme="minorHAnsi" w:cstheme="minorHAnsi"/>
                <w:b/>
                <w:bCs/>
                <w:color w:val="000000"/>
                <w:sz w:val="16"/>
                <w:szCs w:val="16"/>
              </w:rPr>
              <w:t>Vencimento da Certificação Pró-Gestão</w:t>
            </w:r>
            <w:r w:rsidR="004342F3">
              <w:rPr>
                <w:rFonts w:asciiTheme="minorHAnsi" w:hAnsiTheme="minorHAnsi" w:cstheme="minorHAnsi"/>
                <w:b/>
                <w:bCs/>
                <w:color w:val="000000"/>
                <w:sz w:val="16"/>
                <w:szCs w:val="16"/>
              </w:rPr>
              <w:t xml:space="preserve">: </w:t>
            </w:r>
            <w:r w:rsidRPr="00A92A3E">
              <w:rPr>
                <w:rFonts w:asciiTheme="minorHAnsi" w:hAnsiTheme="minorHAnsi" w:cstheme="minorHAnsi"/>
                <w:b/>
                <w:bCs/>
                <w:color w:val="000000"/>
                <w:sz w:val="16"/>
                <w:szCs w:val="16"/>
              </w:rPr>
              <w:t>não implantou ainda</w:t>
            </w:r>
          </w:p>
        </w:tc>
      </w:tr>
    </w:tbl>
    <w:p w14:paraId="497785FD" w14:textId="699D8787" w:rsidR="00500AE2" w:rsidRPr="00A92A3E" w:rsidRDefault="00500AE2" w:rsidP="00500AE2">
      <w:pPr>
        <w:rPr>
          <w:rFonts w:asciiTheme="minorHAnsi" w:hAnsiTheme="minorHAnsi" w:cstheme="minorHAnsi"/>
          <w:color w:val="FF0000"/>
          <w:sz w:val="16"/>
          <w:szCs w:val="16"/>
        </w:rPr>
      </w:pPr>
      <w:r w:rsidRPr="00A92A3E">
        <w:rPr>
          <w:rFonts w:asciiTheme="minorHAnsi" w:hAnsiTheme="minorHAnsi" w:cstheme="minorHAnsi"/>
          <w:sz w:val="16"/>
          <w:szCs w:val="16"/>
        </w:rPr>
        <w:t xml:space="preserve">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no momento da elaboração</w:t>
      </w:r>
      <w:r w:rsidR="0067122F" w:rsidRPr="00A92A3E">
        <w:rPr>
          <w:rFonts w:asciiTheme="minorHAnsi" w:hAnsiTheme="minorHAnsi" w:cstheme="minorHAnsi"/>
          <w:sz w:val="16"/>
          <w:szCs w:val="16"/>
        </w:rPr>
        <w:t>, análise</w:t>
      </w:r>
      <w:r w:rsidRPr="00A92A3E">
        <w:rPr>
          <w:rFonts w:asciiTheme="minorHAnsi" w:hAnsiTheme="minorHAnsi" w:cstheme="minorHAnsi"/>
          <w:sz w:val="16"/>
          <w:szCs w:val="16"/>
        </w:rPr>
        <w:t xml:space="preserve"> e aprovação d</w:t>
      </w:r>
      <w:r w:rsidR="004D6751" w:rsidRPr="00A92A3E">
        <w:rPr>
          <w:rFonts w:asciiTheme="minorHAnsi" w:hAnsiTheme="minorHAnsi" w:cstheme="minorHAnsi"/>
          <w:sz w:val="16"/>
          <w:szCs w:val="16"/>
        </w:rPr>
        <w:t>a</w:t>
      </w:r>
      <w:r w:rsidRPr="00A92A3E">
        <w:rPr>
          <w:rFonts w:asciiTheme="minorHAnsi" w:hAnsiTheme="minorHAnsi" w:cstheme="minorHAnsi"/>
          <w:sz w:val="16"/>
          <w:szCs w:val="16"/>
        </w:rPr>
        <w:t xml:space="preserve"> Política de Investimentos, </w:t>
      </w:r>
      <w:r w:rsidR="0067122F" w:rsidRPr="00A92A3E">
        <w:rPr>
          <w:rFonts w:asciiTheme="minorHAnsi" w:hAnsiTheme="minorHAnsi" w:cstheme="minorHAnsi"/>
          <w:sz w:val="16"/>
          <w:szCs w:val="16"/>
        </w:rPr>
        <w:t>encontra-se classificado</w:t>
      </w:r>
      <w:r w:rsidRPr="00A92A3E">
        <w:rPr>
          <w:rFonts w:asciiTheme="minorHAnsi" w:hAnsiTheme="minorHAnsi" w:cstheme="minorHAnsi"/>
          <w:sz w:val="16"/>
          <w:szCs w:val="16"/>
        </w:rPr>
        <w:t xml:space="preserve"> </w:t>
      </w:r>
      <w:r w:rsidRPr="00A92A3E">
        <w:rPr>
          <w:rFonts w:asciiTheme="minorHAnsi" w:hAnsiTheme="minorHAnsi" w:cstheme="minorHAnsi"/>
          <w:b/>
          <w:bCs/>
          <w:color w:val="000000" w:themeColor="text1"/>
          <w:sz w:val="16"/>
          <w:szCs w:val="16"/>
        </w:rPr>
        <w:t>como Investidor Comum.</w:t>
      </w:r>
    </w:p>
    <w:p w14:paraId="095C1E6B" w14:textId="5296067D"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Na possível obtenção da Certificação Institucional Pró-Gestão, a classificação de Investidor mudará automaticamente, não sendo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prejudicado quanto a</w:t>
      </w:r>
      <w:r w:rsidR="00576A7A" w:rsidRPr="00A92A3E">
        <w:rPr>
          <w:rFonts w:asciiTheme="minorHAnsi" w:hAnsiTheme="minorHAnsi" w:cstheme="minorHAnsi"/>
          <w:sz w:val="16"/>
          <w:szCs w:val="16"/>
        </w:rPr>
        <w:t>s</w:t>
      </w:r>
      <w:r w:rsidRPr="00A92A3E">
        <w:rPr>
          <w:rFonts w:asciiTheme="minorHAnsi" w:hAnsiTheme="minorHAnsi" w:cstheme="minorHAnsi"/>
          <w:sz w:val="16"/>
          <w:szCs w:val="16"/>
        </w:rPr>
        <w:t xml:space="preserve"> adaptaç</w:t>
      </w:r>
      <w:r w:rsidR="00576A7A" w:rsidRPr="00A92A3E">
        <w:rPr>
          <w:rFonts w:asciiTheme="minorHAnsi" w:hAnsiTheme="minorHAnsi" w:cstheme="minorHAnsi"/>
          <w:sz w:val="16"/>
          <w:szCs w:val="16"/>
        </w:rPr>
        <w:t>ões</w:t>
      </w:r>
      <w:r w:rsidRPr="00A92A3E">
        <w:rPr>
          <w:rFonts w:asciiTheme="minorHAnsi" w:hAnsiTheme="minorHAnsi" w:cstheme="minorHAnsi"/>
          <w:sz w:val="16"/>
          <w:szCs w:val="16"/>
        </w:rPr>
        <w:t xml:space="preserve"> dos processos e procedimentos internos e de controle</w:t>
      </w:r>
      <w:r w:rsidR="007171D9" w:rsidRPr="00A92A3E">
        <w:rPr>
          <w:rFonts w:asciiTheme="minorHAnsi" w:hAnsiTheme="minorHAnsi" w:cstheme="minorHAnsi"/>
          <w:sz w:val="16"/>
          <w:szCs w:val="16"/>
        </w:rPr>
        <w:t xml:space="preserve">, bem como </w:t>
      </w:r>
      <w:r w:rsidR="00046BFE" w:rsidRPr="00A92A3E">
        <w:rPr>
          <w:rFonts w:asciiTheme="minorHAnsi" w:hAnsiTheme="minorHAnsi" w:cstheme="minorHAnsi"/>
          <w:sz w:val="16"/>
          <w:szCs w:val="16"/>
        </w:rPr>
        <w:t>a manutenção da Política de Investimentos</w:t>
      </w:r>
      <w:r w:rsidR="00B76A2F" w:rsidRPr="00A92A3E">
        <w:rPr>
          <w:rFonts w:asciiTheme="minorHAnsi" w:hAnsiTheme="minorHAnsi" w:cstheme="minorHAnsi"/>
          <w:sz w:val="16"/>
          <w:szCs w:val="16"/>
        </w:rPr>
        <w:t xml:space="preserve"> e</w:t>
      </w:r>
      <w:r w:rsidR="004118E7" w:rsidRPr="00A92A3E">
        <w:rPr>
          <w:rFonts w:asciiTheme="minorHAnsi" w:hAnsiTheme="minorHAnsi" w:cstheme="minorHAnsi"/>
          <w:sz w:val="16"/>
          <w:szCs w:val="16"/>
        </w:rPr>
        <w:t xml:space="preserve"> aportes em fundos de investimentos condizentes com </w:t>
      </w:r>
      <w:r w:rsidR="00B76A2F" w:rsidRPr="00A92A3E">
        <w:rPr>
          <w:rFonts w:asciiTheme="minorHAnsi" w:hAnsiTheme="minorHAnsi" w:cstheme="minorHAnsi"/>
          <w:sz w:val="16"/>
          <w:szCs w:val="16"/>
        </w:rPr>
        <w:t>sua nova classificação</w:t>
      </w:r>
      <w:r w:rsidRPr="00A92A3E">
        <w:rPr>
          <w:rFonts w:asciiTheme="minorHAnsi" w:hAnsiTheme="minorHAnsi" w:cstheme="minorHAnsi"/>
          <w:sz w:val="16"/>
          <w:szCs w:val="16"/>
        </w:rPr>
        <w:t>.</w:t>
      </w:r>
    </w:p>
    <w:p w14:paraId="772DF384" w14:textId="38A72E4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Fica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condicionado ao prazo de </w:t>
      </w:r>
      <w:r w:rsidR="00046BFE" w:rsidRPr="00A92A3E">
        <w:rPr>
          <w:rFonts w:asciiTheme="minorHAnsi" w:hAnsiTheme="minorHAnsi" w:cstheme="minorHAnsi"/>
          <w:b/>
          <w:bCs/>
          <w:sz w:val="16"/>
          <w:szCs w:val="16"/>
        </w:rPr>
        <w:t>9</w:t>
      </w:r>
      <w:r w:rsidRPr="00A92A3E">
        <w:rPr>
          <w:rFonts w:asciiTheme="minorHAnsi" w:hAnsiTheme="minorHAnsi" w:cstheme="minorHAnsi"/>
          <w:b/>
          <w:bCs/>
          <w:sz w:val="16"/>
          <w:szCs w:val="16"/>
        </w:rPr>
        <w:t>0</w:t>
      </w:r>
      <w:r w:rsidR="00046BFE" w:rsidRPr="00A92A3E">
        <w:rPr>
          <w:rFonts w:asciiTheme="minorHAnsi" w:hAnsiTheme="minorHAnsi" w:cstheme="minorHAnsi"/>
          <w:b/>
          <w:bCs/>
          <w:sz w:val="16"/>
          <w:szCs w:val="16"/>
        </w:rPr>
        <w:t xml:space="preserve"> (noventa</w:t>
      </w:r>
      <w:r w:rsidRPr="00A92A3E">
        <w:rPr>
          <w:rFonts w:asciiTheme="minorHAnsi" w:hAnsiTheme="minorHAnsi" w:cstheme="minorHAnsi"/>
          <w:b/>
          <w:bCs/>
          <w:sz w:val="16"/>
          <w:szCs w:val="16"/>
        </w:rPr>
        <w:t>) dias</w:t>
      </w:r>
      <w:r w:rsidRPr="00A92A3E">
        <w:rPr>
          <w:rFonts w:asciiTheme="minorHAnsi" w:hAnsiTheme="minorHAnsi" w:cstheme="minorHAnsi"/>
          <w:sz w:val="16"/>
          <w:szCs w:val="16"/>
        </w:rPr>
        <w:t xml:space="preserve"> para revisão e adequação da Política de Investimentos em atendimento a nova classificação.</w:t>
      </w:r>
    </w:p>
    <w:p w14:paraId="38E40D82" w14:textId="77777777" w:rsidR="00500AE2" w:rsidRPr="00A92A3E" w:rsidRDefault="00500AE2" w:rsidP="00C8521E">
      <w:pPr>
        <w:pStyle w:val="Ttulo1"/>
        <w:rPr>
          <w:rFonts w:asciiTheme="minorHAnsi" w:hAnsiTheme="minorHAnsi" w:cstheme="minorHAnsi"/>
          <w:sz w:val="16"/>
          <w:szCs w:val="16"/>
        </w:rPr>
      </w:pPr>
      <w:bookmarkStart w:id="10" w:name="_Toc435202747"/>
      <w:bookmarkStart w:id="11" w:name="_Toc490036553"/>
      <w:bookmarkStart w:id="12" w:name="_Toc118105128"/>
      <w:bookmarkStart w:id="13" w:name="_Toc150330289"/>
      <w:bookmarkStart w:id="14" w:name="_Toc435202741"/>
      <w:bookmarkStart w:id="15" w:name="_Toc490036546"/>
      <w:r w:rsidRPr="00A92A3E">
        <w:rPr>
          <w:rFonts w:asciiTheme="minorHAnsi" w:hAnsiTheme="minorHAnsi" w:cstheme="minorHAnsi"/>
          <w:sz w:val="16"/>
          <w:szCs w:val="16"/>
        </w:rPr>
        <w:t>ESTRUTURA DE GESTÃO</w:t>
      </w:r>
      <w:bookmarkEnd w:id="10"/>
      <w:bookmarkEnd w:id="11"/>
      <w:bookmarkEnd w:id="12"/>
      <w:bookmarkEnd w:id="13"/>
    </w:p>
    <w:p w14:paraId="2F41C848" w14:textId="28F34558" w:rsidR="004274D2" w:rsidRPr="00A92A3E" w:rsidRDefault="004274D2" w:rsidP="004274D2">
      <w:pPr>
        <w:rPr>
          <w:rFonts w:asciiTheme="minorHAnsi" w:hAnsiTheme="minorHAnsi" w:cstheme="minorHAnsi"/>
          <w:sz w:val="16"/>
          <w:szCs w:val="16"/>
        </w:rPr>
      </w:pPr>
      <w:r w:rsidRPr="00A92A3E">
        <w:rPr>
          <w:rFonts w:asciiTheme="minorHAnsi" w:hAnsiTheme="minorHAnsi" w:cstheme="minorHAnsi"/>
          <w:sz w:val="16"/>
          <w:szCs w:val="16"/>
        </w:rPr>
        <w:t xml:space="preserve">Os responsáveis pela gestão da Unidade Gestora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têm como uma das principais objetividades a contínua busca pela ciência do conhecimento técnico, exercendo suas atividades com </w:t>
      </w:r>
      <w:r w:rsidRPr="00A92A3E">
        <w:rPr>
          <w:rFonts w:asciiTheme="minorHAnsi" w:hAnsiTheme="minorHAnsi" w:cstheme="minorHAnsi"/>
          <w:b/>
          <w:sz w:val="16"/>
          <w:szCs w:val="16"/>
        </w:rPr>
        <w:t>boa fé, legalidade e diligência; zelando por elevados padrões éticos, adotando as boas práticas de gestão previdenciária no âmbito do Pró-Gestão, que visam garantir o cumprimento de suas obrigações</w:t>
      </w:r>
      <w:r w:rsidRPr="00A92A3E">
        <w:rPr>
          <w:rFonts w:asciiTheme="minorHAnsi" w:hAnsiTheme="minorHAnsi" w:cstheme="minorHAnsi"/>
          <w:sz w:val="16"/>
          <w:szCs w:val="16"/>
        </w:rPr>
        <w:t>.</w:t>
      </w:r>
    </w:p>
    <w:p w14:paraId="09AD4B8D" w14:textId="0BE3C025" w:rsidR="004274D2" w:rsidRPr="00A92A3E" w:rsidRDefault="004274D2" w:rsidP="004274D2">
      <w:pPr>
        <w:rPr>
          <w:rFonts w:asciiTheme="minorHAnsi" w:hAnsiTheme="minorHAnsi" w:cstheme="minorHAnsi"/>
          <w:sz w:val="16"/>
          <w:szCs w:val="16"/>
        </w:rPr>
      </w:pPr>
      <w:r w:rsidRPr="00A92A3E">
        <w:rPr>
          <w:rFonts w:asciiTheme="minorHAnsi" w:hAnsiTheme="minorHAnsi" w:cstheme="minorHAnsi"/>
          <w:sz w:val="16"/>
          <w:szCs w:val="16"/>
        </w:rPr>
        <w:t xml:space="preserve">Entende-se por responsáveis pela gestão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xml:space="preserve">, as pessoas que participam do processo de análise, avaliação, gerenciamento, assessoramento e decisório, bem como os participantes do mercado de título e valores mobiliários no que se refere à distribuição, intermediação e administração dos </w:t>
      </w:r>
      <w:r w:rsidR="00E15977" w:rsidRPr="00A92A3E">
        <w:rPr>
          <w:rFonts w:asciiTheme="minorHAnsi" w:hAnsiTheme="minorHAnsi" w:cstheme="minorHAnsi"/>
          <w:sz w:val="16"/>
          <w:szCs w:val="16"/>
        </w:rPr>
        <w:t xml:space="preserve">fundos de </w:t>
      </w:r>
      <w:r w:rsidRPr="00A92A3E">
        <w:rPr>
          <w:rFonts w:asciiTheme="minorHAnsi" w:hAnsiTheme="minorHAnsi" w:cstheme="minorHAnsi"/>
          <w:sz w:val="16"/>
          <w:szCs w:val="16"/>
        </w:rPr>
        <w:t>investimentos</w:t>
      </w:r>
      <w:r w:rsidR="003C6F4B" w:rsidRPr="00A92A3E">
        <w:rPr>
          <w:rFonts w:asciiTheme="minorHAnsi" w:hAnsiTheme="minorHAnsi" w:cstheme="minorHAnsi"/>
          <w:sz w:val="16"/>
          <w:szCs w:val="16"/>
        </w:rPr>
        <w:t xml:space="preserve"> e ativos financeiros</w:t>
      </w:r>
      <w:r w:rsidRPr="00A92A3E">
        <w:rPr>
          <w:rFonts w:asciiTheme="minorHAnsi" w:hAnsiTheme="minorHAnsi" w:cstheme="minorHAnsi"/>
          <w:sz w:val="16"/>
          <w:szCs w:val="16"/>
        </w:rPr>
        <w:t>.</w:t>
      </w:r>
    </w:p>
    <w:p w14:paraId="58380815" w14:textId="616C7568" w:rsidR="004274D2" w:rsidRPr="00A92A3E" w:rsidRDefault="004274D2" w:rsidP="004274D2">
      <w:pPr>
        <w:rPr>
          <w:rFonts w:asciiTheme="minorHAnsi" w:hAnsiTheme="minorHAnsi" w:cstheme="minorHAnsi"/>
          <w:sz w:val="16"/>
          <w:szCs w:val="16"/>
        </w:rPr>
      </w:pPr>
      <w:r w:rsidRPr="00A92A3E">
        <w:rPr>
          <w:rFonts w:asciiTheme="minorHAnsi" w:hAnsiTheme="minorHAnsi" w:cstheme="minorHAnsi"/>
          <w:sz w:val="16"/>
          <w:szCs w:val="16"/>
        </w:rPr>
        <w:t xml:space="preserve">A responsabilidade de cada agente envolvido no processo de análise, avaliação, gerenciamento, assessoramento e decisório, </w:t>
      </w:r>
      <w:r w:rsidR="00074791" w:rsidRPr="00A92A3E">
        <w:rPr>
          <w:rFonts w:asciiTheme="minorHAnsi" w:hAnsiTheme="minorHAnsi" w:cstheme="minorHAnsi"/>
          <w:sz w:val="16"/>
          <w:szCs w:val="16"/>
        </w:rPr>
        <w:t xml:space="preserve">estão </w:t>
      </w:r>
      <w:r w:rsidRPr="00A92A3E">
        <w:rPr>
          <w:rFonts w:asciiTheme="minorHAnsi" w:hAnsiTheme="minorHAnsi" w:cstheme="minorHAnsi"/>
          <w:sz w:val="16"/>
          <w:szCs w:val="16"/>
        </w:rPr>
        <w:t>definidos e disponíveis n</w:t>
      </w:r>
      <w:r w:rsidR="00B328FC" w:rsidRPr="00A92A3E">
        <w:rPr>
          <w:rFonts w:asciiTheme="minorHAnsi" w:hAnsiTheme="minorHAnsi" w:cstheme="minorHAnsi"/>
          <w:sz w:val="16"/>
          <w:szCs w:val="16"/>
        </w:rPr>
        <w:t>os manuais e</w:t>
      </w:r>
      <w:r w:rsidR="00074791"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políticas </w:t>
      </w:r>
      <w:r w:rsidR="00B328FC" w:rsidRPr="00A92A3E">
        <w:rPr>
          <w:rFonts w:asciiTheme="minorHAnsi" w:hAnsiTheme="minorHAnsi" w:cstheme="minorHAnsi"/>
          <w:sz w:val="16"/>
          <w:szCs w:val="16"/>
        </w:rPr>
        <w:t xml:space="preserve">internas </w:t>
      </w:r>
      <w:r w:rsidRPr="00A92A3E">
        <w:rPr>
          <w:rFonts w:asciiTheme="minorHAnsi" w:hAnsiTheme="minorHAnsi" w:cstheme="minorHAnsi"/>
          <w:sz w:val="16"/>
          <w:szCs w:val="16"/>
        </w:rPr>
        <w:t xml:space="preserve">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instituídos como REGRAS, PROCEDIMENTOS E CONTROLES INTERNOS.</w:t>
      </w:r>
    </w:p>
    <w:p w14:paraId="2B919714" w14:textId="3327CE83" w:rsidR="00635488" w:rsidRPr="00A92A3E" w:rsidRDefault="004274D2" w:rsidP="004274D2">
      <w:pPr>
        <w:rPr>
          <w:rFonts w:asciiTheme="minorHAnsi" w:hAnsiTheme="minorHAnsi" w:cstheme="minorHAnsi"/>
          <w:sz w:val="16"/>
          <w:szCs w:val="16"/>
        </w:rPr>
      </w:pPr>
      <w:r w:rsidRPr="00A92A3E">
        <w:rPr>
          <w:rFonts w:asciiTheme="minorHAnsi" w:hAnsiTheme="minorHAnsi" w:cstheme="minorHAnsi"/>
          <w:sz w:val="16"/>
          <w:szCs w:val="16"/>
        </w:rPr>
        <w:t xml:space="preserve">Todo o processo de cumprimento da Política de Investimentos e outras diretrizes legais, que envolvam os agentes </w:t>
      </w:r>
      <w:r w:rsidR="00074791" w:rsidRPr="00A92A3E">
        <w:rPr>
          <w:rFonts w:asciiTheme="minorHAnsi" w:hAnsiTheme="minorHAnsi" w:cstheme="minorHAnsi"/>
          <w:sz w:val="16"/>
          <w:szCs w:val="16"/>
        </w:rPr>
        <w:t>descritos</w:t>
      </w:r>
      <w:r w:rsidRPr="00A92A3E">
        <w:rPr>
          <w:rFonts w:asciiTheme="minorHAnsi" w:hAnsiTheme="minorHAnsi" w:cstheme="minorHAnsi"/>
          <w:sz w:val="16"/>
          <w:szCs w:val="16"/>
        </w:rPr>
        <w:t xml:space="preserve"> acima, terão suas ações deliberadas e fiscalizadas pelos conselhos competentes e pelo controle interno.</w:t>
      </w:r>
    </w:p>
    <w:p w14:paraId="22284CD0" w14:textId="68C8A972" w:rsidR="00500AE2" w:rsidRPr="00A92A3E" w:rsidRDefault="00BE6AF2" w:rsidP="00CC7F04">
      <w:pPr>
        <w:pStyle w:val="Ttulo2"/>
        <w:rPr>
          <w:rFonts w:asciiTheme="minorHAnsi" w:hAnsiTheme="minorHAnsi" w:cstheme="minorHAnsi"/>
          <w:sz w:val="16"/>
          <w:szCs w:val="16"/>
        </w:rPr>
      </w:pPr>
      <w:bookmarkStart w:id="16" w:name="_Toc118105129"/>
      <w:r w:rsidRPr="00A92A3E">
        <w:rPr>
          <w:rFonts w:asciiTheme="minorHAnsi" w:hAnsiTheme="minorHAnsi" w:cstheme="minorHAnsi"/>
          <w:sz w:val="16"/>
          <w:szCs w:val="16"/>
        </w:rPr>
        <w:t>Modelo de Gestão</w:t>
      </w:r>
      <w:bookmarkEnd w:id="16"/>
    </w:p>
    <w:p w14:paraId="0088C349" w14:textId="66EDDC23" w:rsidR="00BE6AF2" w:rsidRPr="00A92A3E" w:rsidRDefault="00BE6AF2" w:rsidP="00BE6AF2">
      <w:pPr>
        <w:rPr>
          <w:rFonts w:asciiTheme="minorHAnsi" w:hAnsiTheme="minorHAnsi" w:cstheme="minorHAnsi"/>
          <w:bCs/>
          <w:sz w:val="16"/>
          <w:szCs w:val="16"/>
        </w:rPr>
      </w:pPr>
      <w:r w:rsidRPr="00A92A3E">
        <w:rPr>
          <w:rFonts w:asciiTheme="minorHAnsi" w:hAnsiTheme="minorHAnsi" w:cstheme="minorHAnsi"/>
          <w:bCs/>
          <w:sz w:val="16"/>
          <w:szCs w:val="16"/>
        </w:rPr>
        <w:t xml:space="preserve">De acordo com as hipóteses previstas na Portaria </w:t>
      </w:r>
      <w:r w:rsidR="0001490F" w:rsidRPr="00A92A3E">
        <w:rPr>
          <w:rFonts w:asciiTheme="minorHAnsi" w:hAnsiTheme="minorHAnsi" w:cstheme="minorHAnsi"/>
          <w:bCs/>
          <w:sz w:val="16"/>
          <w:szCs w:val="16"/>
        </w:rPr>
        <w:t xml:space="preserve">MTP </w:t>
      </w:r>
      <w:r w:rsidRPr="00A92A3E">
        <w:rPr>
          <w:rFonts w:asciiTheme="minorHAnsi" w:hAnsiTheme="minorHAnsi" w:cstheme="minorHAnsi"/>
          <w:bCs/>
          <w:sz w:val="16"/>
          <w:szCs w:val="16"/>
        </w:rPr>
        <w:t>nº 1.467/202</w:t>
      </w:r>
      <w:r w:rsidR="00B90897" w:rsidRPr="00A92A3E">
        <w:rPr>
          <w:rFonts w:asciiTheme="minorHAnsi" w:hAnsiTheme="minorHAnsi" w:cstheme="minorHAnsi"/>
          <w:bCs/>
          <w:sz w:val="16"/>
          <w:szCs w:val="16"/>
        </w:rPr>
        <w:t xml:space="preserve">2, em seu art. 95, incisos </w:t>
      </w:r>
      <w:r w:rsidR="00442831" w:rsidRPr="00A92A3E">
        <w:rPr>
          <w:rFonts w:asciiTheme="minorHAnsi" w:hAnsiTheme="minorHAnsi" w:cstheme="minorHAnsi"/>
          <w:bCs/>
          <w:sz w:val="16"/>
          <w:szCs w:val="16"/>
        </w:rPr>
        <w:t>I, II e III</w:t>
      </w:r>
      <w:r w:rsidRPr="00A92A3E">
        <w:rPr>
          <w:rFonts w:asciiTheme="minorHAnsi" w:hAnsiTheme="minorHAnsi" w:cstheme="minorHAnsi"/>
          <w:bCs/>
          <w:sz w:val="16"/>
          <w:szCs w:val="16"/>
        </w:rPr>
        <w:t>, a gestão das aplicações dos recursos poderá ser realizada por meio de gestão própria, terceirizada ou mista.</w:t>
      </w:r>
    </w:p>
    <w:p w14:paraId="4BF572DC" w14:textId="0B47953C" w:rsidR="00BE6AF2" w:rsidRPr="00A92A3E" w:rsidRDefault="00BE6AF2" w:rsidP="00BE6AF2">
      <w:pPr>
        <w:rPr>
          <w:rFonts w:asciiTheme="minorHAnsi" w:hAnsiTheme="minorHAnsi" w:cstheme="minorHAnsi"/>
          <w:sz w:val="16"/>
          <w:szCs w:val="16"/>
        </w:rPr>
      </w:pPr>
      <w:r w:rsidRPr="00A92A3E">
        <w:rPr>
          <w:rFonts w:asciiTheme="minorHAnsi" w:hAnsiTheme="minorHAnsi" w:cstheme="minorHAnsi"/>
          <w:bCs/>
          <w:sz w:val="16"/>
          <w:szCs w:val="16"/>
        </w:rPr>
        <w:t xml:space="preserve">Para a vigência desta Política de Investimentos, a gestão das aplicações dos recursos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 xml:space="preserve">será </w:t>
      </w:r>
      <w:r w:rsidR="00174692" w:rsidRPr="00A92A3E">
        <w:rPr>
          <w:rFonts w:asciiTheme="minorHAnsi" w:hAnsiTheme="minorHAnsi" w:cstheme="minorHAnsi"/>
          <w:b/>
          <w:bCs/>
          <w:sz w:val="16"/>
          <w:szCs w:val="16"/>
        </w:rPr>
        <w:t>PRÓPRIA</w:t>
      </w:r>
      <w:r w:rsidRPr="00A92A3E">
        <w:rPr>
          <w:rFonts w:asciiTheme="minorHAnsi" w:hAnsiTheme="minorHAnsi" w:cstheme="minorHAnsi"/>
          <w:bCs/>
          <w:sz w:val="16"/>
          <w:szCs w:val="16"/>
        </w:rPr>
        <w:t>.</w:t>
      </w:r>
    </w:p>
    <w:p w14:paraId="7F179483" w14:textId="0AD52933"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A adoção deste modelo significa que a totalidade dos recursos </w:t>
      </w:r>
      <w:r w:rsidR="00D45B0F" w:rsidRPr="00A92A3E">
        <w:rPr>
          <w:rFonts w:asciiTheme="minorHAnsi" w:hAnsiTheme="minorHAnsi" w:cstheme="minorHAnsi"/>
          <w:sz w:val="16"/>
          <w:szCs w:val="16"/>
        </w:rPr>
        <w:t xml:space="preserve">financeiros </w:t>
      </w:r>
      <w:r w:rsidRPr="00A92A3E">
        <w:rPr>
          <w:rFonts w:asciiTheme="minorHAnsi" w:hAnsiTheme="minorHAnsi" w:cstheme="minorHAnsi"/>
          <w:sz w:val="16"/>
          <w:szCs w:val="16"/>
        </w:rPr>
        <w:t>ficará sob a gestão e responsabilidade do</w:t>
      </w:r>
      <w:r w:rsidR="00D45B0F" w:rsidRPr="00A92A3E">
        <w:rPr>
          <w:rFonts w:asciiTheme="minorHAnsi" w:hAnsiTheme="minorHAnsi" w:cstheme="minorHAnsi"/>
          <w:sz w:val="16"/>
          <w:szCs w:val="16"/>
        </w:rPr>
        <w:t xml:space="preserve"> próprio</w:t>
      </w:r>
      <w:r w:rsidRPr="00A92A3E">
        <w:rPr>
          <w:rFonts w:asciiTheme="minorHAnsi" w:hAnsiTheme="minorHAnsi" w:cstheme="minorHAnsi"/>
          <w:sz w:val="16"/>
          <w:szCs w:val="16"/>
        </w:rPr>
        <w:t xml:space="preserve"> </w:t>
      </w:r>
      <w:r w:rsidR="00B53180">
        <w:rPr>
          <w:rStyle w:val="paragrafo"/>
          <w:rFonts w:asciiTheme="minorHAnsi" w:hAnsiTheme="minorHAnsi" w:cstheme="minorHAnsi"/>
          <w:b/>
          <w:bCs/>
          <w:sz w:val="16"/>
          <w:szCs w:val="16"/>
        </w:rPr>
        <w:t>FUNDO ESPECIAL DE PREVIDÊNCIA SOCIAL DE JAGUARIÚNA</w:t>
      </w:r>
      <w:r w:rsidR="00074791" w:rsidRPr="00A92A3E">
        <w:rPr>
          <w:rFonts w:asciiTheme="minorHAnsi" w:hAnsiTheme="minorHAnsi" w:cstheme="minorHAnsi"/>
          <w:sz w:val="16"/>
          <w:szCs w:val="16"/>
        </w:rPr>
        <w:t>, na figura d</w:t>
      </w:r>
      <w:r w:rsidRPr="00A92A3E">
        <w:rPr>
          <w:rFonts w:asciiTheme="minorHAnsi" w:hAnsiTheme="minorHAnsi" w:cstheme="minorHAnsi"/>
          <w:sz w:val="16"/>
          <w:szCs w:val="16"/>
        </w:rPr>
        <w:t>os colaboradores diretamente envolvidos no processo de Gestão dos Recursos ou Investimentos.</w:t>
      </w:r>
    </w:p>
    <w:p w14:paraId="24CD81BE" w14:textId="684C50C0" w:rsidR="00635488"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A gestão das aplicações dos recursos contará com profissionais qualificados e certificados por entidade de certificação reconhecida pelo Ministério </w:t>
      </w:r>
      <w:r w:rsidR="00074791" w:rsidRPr="00A92A3E">
        <w:rPr>
          <w:rFonts w:asciiTheme="minorHAnsi" w:hAnsiTheme="minorHAnsi" w:cstheme="minorHAnsi"/>
          <w:sz w:val="16"/>
          <w:szCs w:val="16"/>
        </w:rPr>
        <w:t xml:space="preserve">da </w:t>
      </w:r>
      <w:r w:rsidRPr="00A92A3E">
        <w:rPr>
          <w:rFonts w:asciiTheme="minorHAnsi" w:hAnsiTheme="minorHAnsi" w:cstheme="minorHAnsi"/>
          <w:sz w:val="16"/>
          <w:szCs w:val="16"/>
        </w:rPr>
        <w:t>Previdência</w:t>
      </w:r>
      <w:r w:rsidR="00074791" w:rsidRPr="00A92A3E">
        <w:rPr>
          <w:rFonts w:asciiTheme="minorHAnsi" w:hAnsiTheme="minorHAnsi" w:cstheme="minorHAnsi"/>
          <w:sz w:val="16"/>
          <w:szCs w:val="16"/>
        </w:rPr>
        <w:t xml:space="preserve"> Social</w:t>
      </w:r>
      <w:r w:rsidR="005D46C1">
        <w:rPr>
          <w:rFonts w:asciiTheme="minorHAnsi" w:hAnsiTheme="minorHAnsi" w:cstheme="minorHAnsi"/>
          <w:sz w:val="16"/>
          <w:szCs w:val="16"/>
        </w:rPr>
        <w:t>, através da Secreta</w:t>
      </w:r>
      <w:r w:rsidRPr="00A92A3E">
        <w:rPr>
          <w:rFonts w:asciiTheme="minorHAnsi" w:hAnsiTheme="minorHAnsi" w:cstheme="minorHAnsi"/>
          <w:sz w:val="16"/>
          <w:szCs w:val="16"/>
        </w:rPr>
        <w:t xml:space="preserve">ria de Previdência Social, conforme exigido na Portaria </w:t>
      </w:r>
      <w:r w:rsidR="00A61A5A" w:rsidRPr="00A92A3E">
        <w:rPr>
          <w:rFonts w:asciiTheme="minorHAnsi" w:hAnsiTheme="minorHAnsi" w:cstheme="minorHAnsi"/>
          <w:sz w:val="16"/>
          <w:szCs w:val="16"/>
        </w:rPr>
        <w:t xml:space="preserve">MTP </w:t>
      </w:r>
      <w:r w:rsidRPr="00A92A3E">
        <w:rPr>
          <w:rFonts w:asciiTheme="minorHAnsi" w:hAnsiTheme="minorHAnsi" w:cstheme="minorHAnsi"/>
          <w:sz w:val="16"/>
          <w:szCs w:val="16"/>
        </w:rPr>
        <w:t>nº 1.467/2022</w:t>
      </w:r>
      <w:r w:rsidR="00A61A5A" w:rsidRPr="00A92A3E">
        <w:rPr>
          <w:rFonts w:asciiTheme="minorHAnsi" w:hAnsiTheme="minorHAnsi" w:cstheme="minorHAnsi"/>
          <w:sz w:val="16"/>
          <w:szCs w:val="16"/>
        </w:rPr>
        <w:t xml:space="preserve"> e alterações</w:t>
      </w:r>
      <w:r w:rsidRPr="00A92A3E">
        <w:rPr>
          <w:rFonts w:asciiTheme="minorHAnsi" w:hAnsiTheme="minorHAnsi" w:cstheme="minorHAnsi"/>
          <w:sz w:val="16"/>
          <w:szCs w:val="16"/>
        </w:rPr>
        <w:t>.</w:t>
      </w:r>
    </w:p>
    <w:p w14:paraId="121BEF59" w14:textId="03E3D130" w:rsidR="00500AE2" w:rsidRPr="00A92A3E" w:rsidRDefault="005321C1" w:rsidP="00CC7F04">
      <w:pPr>
        <w:pStyle w:val="Ttulo2"/>
        <w:rPr>
          <w:rFonts w:asciiTheme="minorHAnsi" w:hAnsiTheme="minorHAnsi" w:cstheme="minorHAnsi"/>
          <w:sz w:val="16"/>
          <w:szCs w:val="16"/>
        </w:rPr>
      </w:pPr>
      <w:bookmarkStart w:id="17" w:name="_Toc435189691"/>
      <w:bookmarkStart w:id="18" w:name="_Toc435202749"/>
      <w:bookmarkStart w:id="19" w:name="_Toc490036555"/>
      <w:bookmarkStart w:id="20" w:name="_Toc118105130"/>
      <w:r w:rsidRPr="00A92A3E">
        <w:rPr>
          <w:rFonts w:asciiTheme="minorHAnsi" w:hAnsiTheme="minorHAnsi" w:cstheme="minorHAnsi"/>
          <w:sz w:val="16"/>
          <w:szCs w:val="16"/>
        </w:rPr>
        <w:t xml:space="preserve">Órgãos de </w:t>
      </w:r>
      <w:bookmarkEnd w:id="17"/>
      <w:bookmarkEnd w:id="18"/>
      <w:bookmarkEnd w:id="19"/>
      <w:bookmarkEnd w:id="20"/>
      <w:r w:rsidR="00CA7D91" w:rsidRPr="00A92A3E">
        <w:rPr>
          <w:rFonts w:asciiTheme="minorHAnsi" w:hAnsiTheme="minorHAnsi" w:cstheme="minorHAnsi"/>
          <w:sz w:val="16"/>
          <w:szCs w:val="16"/>
        </w:rPr>
        <w:t>Execu</w:t>
      </w:r>
      <w:r w:rsidR="00E2752D" w:rsidRPr="00A92A3E">
        <w:rPr>
          <w:rFonts w:asciiTheme="minorHAnsi" w:hAnsiTheme="minorHAnsi" w:cstheme="minorHAnsi"/>
          <w:sz w:val="16"/>
          <w:szCs w:val="16"/>
        </w:rPr>
        <w:t xml:space="preserve">ção, Deliberação </w:t>
      </w:r>
      <w:r w:rsidR="00240515" w:rsidRPr="00A92A3E">
        <w:rPr>
          <w:rFonts w:asciiTheme="minorHAnsi" w:hAnsiTheme="minorHAnsi" w:cstheme="minorHAnsi"/>
          <w:sz w:val="16"/>
          <w:szCs w:val="16"/>
        </w:rPr>
        <w:t>e Fiscalização</w:t>
      </w:r>
    </w:p>
    <w:p w14:paraId="54B9F4C9" w14:textId="6CD88FE8"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Os recursos </w:t>
      </w:r>
      <w:r w:rsidR="00074791" w:rsidRPr="00A92A3E">
        <w:rPr>
          <w:rFonts w:asciiTheme="minorHAnsi" w:hAnsiTheme="minorHAnsi" w:cstheme="minorHAnsi"/>
          <w:bCs/>
          <w:sz w:val="16"/>
          <w:szCs w:val="16"/>
        </w:rPr>
        <w:t xml:space="preserve">financeiros </w:t>
      </w:r>
      <w:r w:rsidRPr="00A92A3E">
        <w:rPr>
          <w:rFonts w:asciiTheme="minorHAnsi" w:hAnsiTheme="minorHAnsi" w:cstheme="minorHAnsi"/>
          <w:bCs/>
          <w:sz w:val="16"/>
          <w:szCs w:val="16"/>
        </w:rPr>
        <w:t xml:space="preserve">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 xml:space="preserve">visam à constituição das reservas garantidoras dos benefícios e devem ser mantidos e controlados de forma segregada dos recursos do </w:t>
      </w:r>
      <w:r w:rsidR="0077266F" w:rsidRPr="00A92A3E">
        <w:rPr>
          <w:rFonts w:asciiTheme="minorHAnsi" w:hAnsiTheme="minorHAnsi" w:cstheme="minorHAnsi"/>
          <w:bCs/>
          <w:sz w:val="16"/>
          <w:szCs w:val="16"/>
        </w:rPr>
        <w:t>E</w:t>
      </w:r>
      <w:r w:rsidRPr="00A92A3E">
        <w:rPr>
          <w:rFonts w:asciiTheme="minorHAnsi" w:hAnsiTheme="minorHAnsi" w:cstheme="minorHAnsi"/>
          <w:bCs/>
          <w:sz w:val="16"/>
          <w:szCs w:val="16"/>
        </w:rPr>
        <w:t xml:space="preserve">nte </w:t>
      </w:r>
      <w:r w:rsidR="0077266F" w:rsidRPr="00A92A3E">
        <w:rPr>
          <w:rFonts w:asciiTheme="minorHAnsi" w:hAnsiTheme="minorHAnsi" w:cstheme="minorHAnsi"/>
          <w:bCs/>
          <w:sz w:val="16"/>
          <w:szCs w:val="16"/>
        </w:rPr>
        <w:t>F</w:t>
      </w:r>
      <w:r w:rsidRPr="00A92A3E">
        <w:rPr>
          <w:rFonts w:asciiTheme="minorHAnsi" w:hAnsiTheme="minorHAnsi" w:cstheme="minorHAnsi"/>
          <w:bCs/>
          <w:sz w:val="16"/>
          <w:szCs w:val="16"/>
        </w:rPr>
        <w:t xml:space="preserve">ederativo. Esses mesmos recursos serão geridos em conformidade com </w:t>
      </w:r>
      <w:r w:rsidR="00074791" w:rsidRPr="00A92A3E">
        <w:rPr>
          <w:rFonts w:asciiTheme="minorHAnsi" w:hAnsiTheme="minorHAnsi" w:cstheme="minorHAnsi"/>
          <w:bCs/>
          <w:sz w:val="16"/>
          <w:szCs w:val="16"/>
        </w:rPr>
        <w:t>a</w:t>
      </w:r>
      <w:r w:rsidRPr="00A92A3E">
        <w:rPr>
          <w:rFonts w:asciiTheme="minorHAnsi" w:hAnsiTheme="minorHAnsi" w:cstheme="minorHAnsi"/>
          <w:bCs/>
          <w:sz w:val="16"/>
          <w:szCs w:val="16"/>
        </w:rPr>
        <w:t xml:space="preserve"> Política de Investimentos, com os critérios para credenciamento das Instituições Financeiras e contratação de prestadores de serviços.</w:t>
      </w:r>
    </w:p>
    <w:p w14:paraId="27E35EAE" w14:textId="66965683" w:rsidR="00141E8A" w:rsidRPr="00A92A3E" w:rsidRDefault="00141E8A"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A estrutura </w:t>
      </w:r>
      <w:r w:rsidR="005A6D8F" w:rsidRPr="00A92A3E">
        <w:rPr>
          <w:rFonts w:asciiTheme="minorHAnsi" w:hAnsiTheme="minorHAnsi" w:cstheme="minorHAnsi"/>
          <w:bCs/>
          <w:sz w:val="16"/>
          <w:szCs w:val="16"/>
        </w:rPr>
        <w:t xml:space="preserve">interna </w:t>
      </w:r>
      <w:r w:rsidRPr="00A92A3E">
        <w:rPr>
          <w:rFonts w:asciiTheme="minorHAnsi" w:hAnsiTheme="minorHAnsi" w:cstheme="minorHAnsi"/>
          <w:bCs/>
          <w:sz w:val="16"/>
          <w:szCs w:val="16"/>
        </w:rPr>
        <w:t xml:space="preserve">definida através da </w:t>
      </w:r>
      <w:r w:rsidR="00200C9E" w:rsidRPr="00200C9E">
        <w:rPr>
          <w:rFonts w:asciiTheme="minorHAnsi" w:hAnsiTheme="minorHAnsi" w:cstheme="minorHAnsi"/>
          <w:b/>
          <w:sz w:val="16"/>
          <w:szCs w:val="16"/>
        </w:rPr>
        <w:t>LEI COMPLEMENTAR MUNICIPAL 209/2012 de 09 de maio</w:t>
      </w:r>
      <w:r w:rsidR="00200C9E">
        <w:rPr>
          <w:rFonts w:asciiTheme="minorHAnsi" w:hAnsiTheme="minorHAnsi" w:cstheme="minorHAnsi"/>
          <w:bCs/>
          <w:sz w:val="16"/>
          <w:szCs w:val="16"/>
        </w:rPr>
        <w:t xml:space="preserve"> </w:t>
      </w:r>
      <w:r w:rsidRPr="00A92A3E">
        <w:rPr>
          <w:rFonts w:asciiTheme="minorHAnsi" w:hAnsiTheme="minorHAnsi" w:cstheme="minorHAnsi"/>
          <w:bCs/>
          <w:sz w:val="16"/>
          <w:szCs w:val="16"/>
        </w:rPr>
        <w:t>garante a demonstração da Segregação de Atividades adotadas pelos</w:t>
      </w:r>
      <w:r w:rsidR="000E7C26" w:rsidRPr="00A92A3E">
        <w:rPr>
          <w:rFonts w:asciiTheme="minorHAnsi" w:hAnsiTheme="minorHAnsi" w:cstheme="minorHAnsi"/>
          <w:bCs/>
          <w:sz w:val="16"/>
          <w:szCs w:val="16"/>
        </w:rPr>
        <w:t xml:space="preserve"> dirigentes, conselheiros</w:t>
      </w:r>
      <w:r w:rsidR="00B00216" w:rsidRPr="00A92A3E">
        <w:rPr>
          <w:rFonts w:asciiTheme="minorHAnsi" w:hAnsiTheme="minorHAnsi" w:cstheme="minorHAnsi"/>
          <w:bCs/>
          <w:sz w:val="16"/>
          <w:szCs w:val="16"/>
        </w:rPr>
        <w:t>, gestores dos recursos e membros do Comitê de Investimentos</w:t>
      </w:r>
      <w:r w:rsidRPr="00A92A3E">
        <w:rPr>
          <w:rFonts w:asciiTheme="minorHAnsi" w:hAnsiTheme="minorHAnsi" w:cstheme="minorHAnsi"/>
          <w:bCs/>
          <w:sz w:val="16"/>
          <w:szCs w:val="16"/>
        </w:rPr>
        <w:t>, estando em linha com as boas práticas de gestão e governança previdenciária.</w:t>
      </w:r>
    </w:p>
    <w:p w14:paraId="2F415920" w14:textId="578861A0" w:rsidR="002C3A3D" w:rsidRPr="00A92A3E" w:rsidRDefault="002C3A3D" w:rsidP="002C3A3D">
      <w:pPr>
        <w:pStyle w:val="Ttulo3"/>
        <w:rPr>
          <w:rFonts w:asciiTheme="minorHAnsi" w:hAnsiTheme="minorHAnsi" w:cstheme="minorHAnsi"/>
          <w:sz w:val="16"/>
          <w:szCs w:val="16"/>
        </w:rPr>
      </w:pPr>
      <w:r w:rsidRPr="00A92A3E">
        <w:rPr>
          <w:rFonts w:asciiTheme="minorHAnsi" w:hAnsiTheme="minorHAnsi" w:cstheme="minorHAnsi"/>
          <w:sz w:val="16"/>
          <w:szCs w:val="16"/>
        </w:rPr>
        <w:lastRenderedPageBreak/>
        <w:t>Comitê de Investimentos</w:t>
      </w:r>
    </w:p>
    <w:p w14:paraId="7CF0997C" w14:textId="17642D74" w:rsidR="00500AE2" w:rsidRPr="00A92A3E" w:rsidRDefault="002C3A3D" w:rsidP="00500AE2">
      <w:pPr>
        <w:rPr>
          <w:rFonts w:asciiTheme="minorHAnsi" w:hAnsiTheme="minorHAnsi" w:cstheme="minorHAnsi"/>
          <w:bCs/>
          <w:sz w:val="16"/>
          <w:szCs w:val="16"/>
        </w:rPr>
      </w:pPr>
      <w:r w:rsidRPr="00A92A3E">
        <w:rPr>
          <w:rFonts w:asciiTheme="minorHAnsi" w:hAnsiTheme="minorHAnsi" w:cstheme="minorHAnsi"/>
          <w:bCs/>
          <w:sz w:val="16"/>
          <w:szCs w:val="16"/>
        </w:rPr>
        <w:t>C</w:t>
      </w:r>
      <w:r w:rsidR="00500AE2" w:rsidRPr="00A92A3E">
        <w:rPr>
          <w:rFonts w:asciiTheme="minorHAnsi" w:hAnsiTheme="minorHAnsi" w:cstheme="minorHAnsi"/>
          <w:bCs/>
          <w:sz w:val="16"/>
          <w:szCs w:val="16"/>
        </w:rPr>
        <w:t xml:space="preserve">ompete ao Comitê de Investimentos a formulação e execução da Política de Investimento juntamente com a Diretoria Executiva e Gestor dos Recursos, que devem submetê-la para aprovação do Conselho Deliberativo e fiscalização do Conselho Fiscal, </w:t>
      </w:r>
      <w:r w:rsidR="00CA3785" w:rsidRPr="00A92A3E">
        <w:rPr>
          <w:rFonts w:asciiTheme="minorHAnsi" w:hAnsiTheme="minorHAnsi" w:cstheme="minorHAnsi"/>
          <w:bCs/>
          <w:sz w:val="16"/>
          <w:szCs w:val="16"/>
        </w:rPr>
        <w:t xml:space="preserve">ambos </w:t>
      </w:r>
      <w:r w:rsidR="00500AE2" w:rsidRPr="00A92A3E">
        <w:rPr>
          <w:rFonts w:asciiTheme="minorHAnsi" w:hAnsiTheme="minorHAnsi" w:cstheme="minorHAnsi"/>
          <w:bCs/>
          <w:sz w:val="16"/>
          <w:szCs w:val="16"/>
        </w:rPr>
        <w:t xml:space="preserve">órgãos superiores de competência do </w:t>
      </w:r>
      <w:r w:rsidR="00B53180">
        <w:rPr>
          <w:rStyle w:val="paragrafo"/>
          <w:rFonts w:asciiTheme="minorHAnsi" w:hAnsiTheme="minorHAnsi" w:cstheme="minorHAnsi"/>
          <w:b/>
          <w:bCs/>
          <w:sz w:val="16"/>
          <w:szCs w:val="16"/>
        </w:rPr>
        <w:t>FUNDO ESPECIAL DE PREVIDÊNCIA SOCIAL DE JAGUARIÚNA</w:t>
      </w:r>
      <w:r w:rsidR="00500AE2" w:rsidRPr="00A92A3E">
        <w:rPr>
          <w:rFonts w:asciiTheme="minorHAnsi" w:hAnsiTheme="minorHAnsi" w:cstheme="minorHAnsi"/>
          <w:bCs/>
          <w:sz w:val="16"/>
          <w:szCs w:val="16"/>
        </w:rPr>
        <w:t>.</w:t>
      </w:r>
    </w:p>
    <w:p w14:paraId="0451849B" w14:textId="253E0740"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Em casos de Conflito de Interesse entre os membros integrantes do Comitê de Investimentos, Diretoria Executiva e Conselhos</w:t>
      </w:r>
      <w:r w:rsidR="00CA3785" w:rsidRPr="00A92A3E">
        <w:rPr>
          <w:rFonts w:asciiTheme="minorHAnsi" w:hAnsiTheme="minorHAnsi" w:cstheme="minorHAnsi"/>
          <w:bCs/>
          <w:sz w:val="16"/>
          <w:szCs w:val="16"/>
        </w:rPr>
        <w:t xml:space="preserve"> Deliberativo e Fiscal</w:t>
      </w:r>
      <w:r w:rsidRPr="00A92A3E">
        <w:rPr>
          <w:rFonts w:asciiTheme="minorHAnsi" w:hAnsiTheme="minorHAnsi" w:cstheme="minorHAnsi"/>
          <w:bCs/>
          <w:sz w:val="16"/>
          <w:szCs w:val="16"/>
        </w:rPr>
        <w:t>, a participação do conflitante como voto de qualidade será impedida e/ou anulada, sendo devidamente registrado em ata de reunião.</w:t>
      </w:r>
    </w:p>
    <w:p w14:paraId="67F2C001" w14:textId="072C8CE7" w:rsidR="00635488"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Não fica excluída a possibilidade da participação de um Consultor de Valores Mobiliários no fornecimento de “minuta” para a elaboração da Política de Investimentos, bem como propostas de revisão para apreciação do Gestor dos Recursos, Comitê de Investimentos e Diretoria Executiva.</w:t>
      </w:r>
    </w:p>
    <w:p w14:paraId="3095D863" w14:textId="19FF9B96" w:rsidR="003576B4" w:rsidRPr="00A92A3E" w:rsidRDefault="00B21602" w:rsidP="003576B4">
      <w:pPr>
        <w:pStyle w:val="Ttulo2"/>
        <w:rPr>
          <w:rFonts w:asciiTheme="minorHAnsi" w:hAnsiTheme="minorHAnsi" w:cstheme="minorHAnsi"/>
          <w:sz w:val="16"/>
          <w:szCs w:val="16"/>
        </w:rPr>
      </w:pPr>
      <w:r w:rsidRPr="00A92A3E">
        <w:rPr>
          <w:rFonts w:asciiTheme="minorHAnsi" w:hAnsiTheme="minorHAnsi" w:cstheme="minorHAnsi"/>
          <w:sz w:val="16"/>
          <w:szCs w:val="16"/>
        </w:rPr>
        <w:t xml:space="preserve">Observância aos </w:t>
      </w:r>
      <w:r w:rsidR="006C50B5" w:rsidRPr="00A92A3E">
        <w:rPr>
          <w:rFonts w:asciiTheme="minorHAnsi" w:hAnsiTheme="minorHAnsi" w:cstheme="minorHAnsi"/>
          <w:sz w:val="16"/>
          <w:szCs w:val="16"/>
        </w:rPr>
        <w:t>C</w:t>
      </w:r>
      <w:r w:rsidRPr="00A92A3E">
        <w:rPr>
          <w:rFonts w:asciiTheme="minorHAnsi" w:hAnsiTheme="minorHAnsi" w:cstheme="minorHAnsi"/>
          <w:sz w:val="16"/>
          <w:szCs w:val="16"/>
        </w:rPr>
        <w:t xml:space="preserve">ritérios de </w:t>
      </w:r>
      <w:r w:rsidR="006C50B5" w:rsidRPr="00A92A3E">
        <w:rPr>
          <w:rFonts w:asciiTheme="minorHAnsi" w:hAnsiTheme="minorHAnsi" w:cstheme="minorHAnsi"/>
          <w:sz w:val="16"/>
          <w:szCs w:val="16"/>
        </w:rPr>
        <w:t>Elegibilidade</w:t>
      </w:r>
    </w:p>
    <w:p w14:paraId="555DF91B" w14:textId="553DF078" w:rsidR="007246A9" w:rsidRPr="00A92A3E" w:rsidRDefault="007246A9" w:rsidP="007246A9">
      <w:pPr>
        <w:rPr>
          <w:rFonts w:asciiTheme="minorHAnsi" w:hAnsiTheme="minorHAnsi" w:cstheme="minorHAnsi"/>
          <w:sz w:val="16"/>
          <w:szCs w:val="16"/>
        </w:rPr>
      </w:pPr>
      <w:r w:rsidRPr="00A92A3E">
        <w:rPr>
          <w:rFonts w:asciiTheme="minorHAnsi" w:hAnsiTheme="minorHAnsi" w:cstheme="minorHAnsi"/>
          <w:sz w:val="16"/>
          <w:szCs w:val="16"/>
        </w:rPr>
        <w:t xml:space="preserve">Os responsáveis pela gestão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00CE10F4" w:rsidRPr="00A92A3E">
        <w:rPr>
          <w:rFonts w:asciiTheme="minorHAnsi" w:hAnsiTheme="minorHAnsi" w:cstheme="minorHAnsi"/>
          <w:sz w:val="16"/>
          <w:szCs w:val="16"/>
        </w:rPr>
        <w:t xml:space="preserve">e </w:t>
      </w:r>
      <w:r w:rsidR="00DB18A6" w:rsidRPr="00A92A3E">
        <w:rPr>
          <w:rFonts w:asciiTheme="minorHAnsi" w:hAnsiTheme="minorHAnsi" w:cstheme="minorHAnsi"/>
          <w:sz w:val="16"/>
          <w:szCs w:val="16"/>
        </w:rPr>
        <w:t xml:space="preserve">aqueles </w:t>
      </w:r>
      <w:r w:rsidR="00CE10F4" w:rsidRPr="00A92A3E">
        <w:rPr>
          <w:rFonts w:asciiTheme="minorHAnsi" w:hAnsiTheme="minorHAnsi" w:cstheme="minorHAnsi"/>
          <w:sz w:val="16"/>
          <w:szCs w:val="16"/>
        </w:rPr>
        <w:t>que participam diret</w:t>
      </w:r>
      <w:r w:rsidR="00022E15" w:rsidRPr="00A92A3E">
        <w:rPr>
          <w:rFonts w:asciiTheme="minorHAnsi" w:hAnsiTheme="minorHAnsi" w:cstheme="minorHAnsi"/>
          <w:sz w:val="16"/>
          <w:szCs w:val="16"/>
        </w:rPr>
        <w:t>a</w:t>
      </w:r>
      <w:r w:rsidR="0005218B" w:rsidRPr="00A92A3E">
        <w:rPr>
          <w:rFonts w:asciiTheme="minorHAnsi" w:hAnsiTheme="minorHAnsi" w:cstheme="minorHAnsi"/>
          <w:sz w:val="16"/>
          <w:szCs w:val="16"/>
        </w:rPr>
        <w:t>mente</w:t>
      </w:r>
      <w:r w:rsidR="00CE10F4" w:rsidRPr="00A92A3E">
        <w:rPr>
          <w:rFonts w:asciiTheme="minorHAnsi" w:hAnsiTheme="minorHAnsi" w:cstheme="minorHAnsi"/>
          <w:sz w:val="16"/>
          <w:szCs w:val="16"/>
        </w:rPr>
        <w:t xml:space="preserve"> </w:t>
      </w:r>
      <w:r w:rsidRPr="00A92A3E">
        <w:rPr>
          <w:rFonts w:asciiTheme="minorHAnsi" w:hAnsiTheme="minorHAnsi" w:cstheme="minorHAnsi"/>
          <w:sz w:val="16"/>
          <w:szCs w:val="16"/>
        </w:rPr>
        <w:t>do processo de análise, avaliação, gerenciamento, assessoramento e decisório</w:t>
      </w:r>
      <w:r w:rsidR="00F90C6C" w:rsidRPr="00A92A3E">
        <w:rPr>
          <w:rFonts w:asciiTheme="minorHAnsi" w:hAnsiTheme="minorHAnsi" w:cstheme="minorHAnsi"/>
          <w:sz w:val="16"/>
          <w:szCs w:val="16"/>
        </w:rPr>
        <w:t xml:space="preserve">, estão submetidos a critérios de elegibilidade, </w:t>
      </w:r>
      <w:r w:rsidR="00C63200" w:rsidRPr="00A92A3E">
        <w:rPr>
          <w:rFonts w:asciiTheme="minorHAnsi" w:hAnsiTheme="minorHAnsi" w:cstheme="minorHAnsi"/>
          <w:sz w:val="16"/>
          <w:szCs w:val="16"/>
        </w:rPr>
        <w:t>dado a responsabilidade sobre suas atribuições</w:t>
      </w:r>
      <w:r w:rsidRPr="00A92A3E">
        <w:rPr>
          <w:rFonts w:asciiTheme="minorHAnsi" w:hAnsiTheme="minorHAnsi" w:cstheme="minorHAnsi"/>
          <w:sz w:val="16"/>
          <w:szCs w:val="16"/>
        </w:rPr>
        <w:t>.</w:t>
      </w:r>
    </w:p>
    <w:p w14:paraId="104F3821" w14:textId="44245DF1" w:rsidR="00BF7F63" w:rsidRPr="00A92A3E" w:rsidRDefault="00B87A8E" w:rsidP="003576B4">
      <w:pPr>
        <w:rPr>
          <w:rFonts w:asciiTheme="minorHAnsi" w:hAnsiTheme="minorHAnsi" w:cstheme="minorHAnsi"/>
          <w:sz w:val="16"/>
          <w:szCs w:val="16"/>
        </w:rPr>
      </w:pPr>
      <w:r w:rsidRPr="00A92A3E">
        <w:rPr>
          <w:rFonts w:asciiTheme="minorHAnsi" w:hAnsiTheme="minorHAnsi" w:cstheme="minorHAnsi"/>
          <w:sz w:val="16"/>
          <w:szCs w:val="16"/>
        </w:rPr>
        <w:t xml:space="preserve">Os critérios de elegibilidade </w:t>
      </w:r>
      <w:r w:rsidR="00B42EB7" w:rsidRPr="00A92A3E">
        <w:rPr>
          <w:rFonts w:asciiTheme="minorHAnsi" w:hAnsiTheme="minorHAnsi" w:cstheme="minorHAnsi"/>
          <w:sz w:val="16"/>
          <w:szCs w:val="16"/>
        </w:rPr>
        <w:t>e permanência n</w:t>
      </w:r>
      <w:r w:rsidR="00A6547C" w:rsidRPr="00A92A3E">
        <w:rPr>
          <w:rFonts w:asciiTheme="minorHAnsi" w:hAnsiTheme="minorHAnsi" w:cstheme="minorHAnsi"/>
          <w:sz w:val="16"/>
          <w:szCs w:val="16"/>
        </w:rPr>
        <w:t>os cargos</w:t>
      </w:r>
      <w:r w:rsidR="00B42EB7" w:rsidRPr="00A92A3E">
        <w:rPr>
          <w:rFonts w:asciiTheme="minorHAnsi" w:hAnsiTheme="minorHAnsi" w:cstheme="minorHAnsi"/>
          <w:sz w:val="16"/>
          <w:szCs w:val="16"/>
        </w:rPr>
        <w:t xml:space="preserve"> </w:t>
      </w:r>
      <w:r w:rsidR="00D17555" w:rsidRPr="00A92A3E">
        <w:rPr>
          <w:rFonts w:asciiTheme="minorHAnsi" w:hAnsiTheme="minorHAnsi" w:cstheme="minorHAnsi"/>
          <w:sz w:val="16"/>
          <w:szCs w:val="16"/>
        </w:rPr>
        <w:t xml:space="preserve">dentro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estão descritos na Lei </w:t>
      </w:r>
      <w:r w:rsidR="001D5AD7" w:rsidRPr="00A92A3E">
        <w:rPr>
          <w:rFonts w:asciiTheme="minorHAnsi" w:hAnsiTheme="minorHAnsi" w:cstheme="minorHAnsi"/>
          <w:sz w:val="16"/>
          <w:szCs w:val="16"/>
        </w:rPr>
        <w:t>nº 9.717</w:t>
      </w:r>
      <w:r w:rsidR="007C1F83" w:rsidRPr="00A92A3E">
        <w:rPr>
          <w:rFonts w:asciiTheme="minorHAnsi" w:hAnsiTheme="minorHAnsi" w:cstheme="minorHAnsi"/>
          <w:sz w:val="16"/>
          <w:szCs w:val="16"/>
        </w:rPr>
        <w:t>, de 27 de novembro de 1998</w:t>
      </w:r>
      <w:r w:rsidR="00F933F9" w:rsidRPr="00A92A3E">
        <w:rPr>
          <w:rFonts w:asciiTheme="minorHAnsi" w:hAnsiTheme="minorHAnsi" w:cstheme="minorHAnsi"/>
          <w:sz w:val="16"/>
          <w:szCs w:val="16"/>
        </w:rPr>
        <w:t xml:space="preserve"> (“Lei nº 9.717/1998”), incluídos pela</w:t>
      </w:r>
      <w:r w:rsidR="00B42EB7" w:rsidRPr="00A92A3E">
        <w:rPr>
          <w:rFonts w:asciiTheme="minorHAnsi" w:hAnsiTheme="minorHAnsi" w:cstheme="minorHAnsi"/>
          <w:sz w:val="16"/>
          <w:szCs w:val="16"/>
        </w:rPr>
        <w:t xml:space="preserve"> Lei nº 13.846, de 18 de junho de 2019</w:t>
      </w:r>
      <w:r w:rsidR="00F933F9" w:rsidRPr="00A92A3E">
        <w:rPr>
          <w:rFonts w:asciiTheme="minorHAnsi" w:hAnsiTheme="minorHAnsi" w:cstheme="minorHAnsi"/>
          <w:sz w:val="16"/>
          <w:szCs w:val="16"/>
        </w:rPr>
        <w:t xml:space="preserve"> </w:t>
      </w:r>
      <w:r w:rsidR="00B42EB7" w:rsidRPr="00A92A3E">
        <w:rPr>
          <w:rFonts w:asciiTheme="minorHAnsi" w:hAnsiTheme="minorHAnsi" w:cstheme="minorHAnsi"/>
          <w:sz w:val="16"/>
          <w:szCs w:val="16"/>
        </w:rPr>
        <w:t>(“Lei nº 13.846/2019”)</w:t>
      </w:r>
      <w:r w:rsidR="00245574" w:rsidRPr="00A92A3E">
        <w:rPr>
          <w:rFonts w:asciiTheme="minorHAnsi" w:hAnsiTheme="minorHAnsi" w:cstheme="minorHAnsi"/>
          <w:sz w:val="16"/>
          <w:szCs w:val="16"/>
        </w:rPr>
        <w:t xml:space="preserve"> e na Portaria MTP nº </w:t>
      </w:r>
      <w:r w:rsidR="002B389F" w:rsidRPr="00A92A3E">
        <w:rPr>
          <w:rFonts w:asciiTheme="minorHAnsi" w:hAnsiTheme="minorHAnsi" w:cstheme="minorHAnsi"/>
          <w:sz w:val="16"/>
          <w:szCs w:val="16"/>
        </w:rPr>
        <w:t xml:space="preserve">1.467/2022, </w:t>
      </w:r>
      <w:r w:rsidR="009B43A3" w:rsidRPr="00A92A3E">
        <w:rPr>
          <w:rFonts w:asciiTheme="minorHAnsi" w:hAnsiTheme="minorHAnsi" w:cstheme="minorHAnsi"/>
          <w:sz w:val="16"/>
          <w:szCs w:val="16"/>
        </w:rPr>
        <w:t>em seu A</w:t>
      </w:r>
      <w:r w:rsidR="002B389F" w:rsidRPr="00A92A3E">
        <w:rPr>
          <w:rFonts w:asciiTheme="minorHAnsi" w:hAnsiTheme="minorHAnsi" w:cstheme="minorHAnsi"/>
          <w:sz w:val="16"/>
          <w:szCs w:val="16"/>
        </w:rPr>
        <w:t>rt. 76.</w:t>
      </w:r>
    </w:p>
    <w:p w14:paraId="4F546551" w14:textId="7A2AAC00" w:rsidR="00DC2258" w:rsidRPr="00A92A3E" w:rsidRDefault="009B43A3" w:rsidP="00DC2258">
      <w:pPr>
        <w:rPr>
          <w:rFonts w:asciiTheme="minorHAnsi" w:hAnsiTheme="minorHAnsi" w:cstheme="minorHAnsi"/>
          <w:sz w:val="16"/>
          <w:szCs w:val="16"/>
        </w:rPr>
      </w:pPr>
      <w:bookmarkStart w:id="21" w:name="_Toc118105131"/>
      <w:r w:rsidRPr="00A92A3E">
        <w:rPr>
          <w:rFonts w:asciiTheme="minorHAnsi" w:hAnsiTheme="minorHAnsi" w:cstheme="minorHAnsi"/>
          <w:sz w:val="16"/>
          <w:szCs w:val="16"/>
        </w:rPr>
        <w:t>Os membros integrantes da Diretoria Executiva, Comitê de Investimentos, Conselhos de Deliberação e Fiscalização</w:t>
      </w:r>
      <w:r w:rsidR="000A5919"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e o Gestor dos Recursos </w:t>
      </w:r>
      <w:r w:rsidR="000A5919" w:rsidRPr="00A92A3E">
        <w:rPr>
          <w:rFonts w:asciiTheme="minorHAnsi" w:hAnsiTheme="minorHAnsi" w:cstheme="minorHAnsi"/>
          <w:sz w:val="16"/>
          <w:szCs w:val="16"/>
        </w:rPr>
        <w:t xml:space="preserve">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000A5919" w:rsidRPr="00A92A3E">
        <w:rPr>
          <w:rFonts w:asciiTheme="minorHAnsi" w:hAnsiTheme="minorHAnsi" w:cstheme="minorHAnsi"/>
          <w:sz w:val="16"/>
          <w:szCs w:val="16"/>
        </w:rPr>
        <w:t>deverão atender aos seguintes requisitos mínimos</w:t>
      </w:r>
      <w:r w:rsidRPr="00A92A3E">
        <w:rPr>
          <w:rFonts w:asciiTheme="minorHAnsi" w:hAnsiTheme="minorHAnsi" w:cstheme="minorHAnsi"/>
          <w:sz w:val="16"/>
          <w:szCs w:val="16"/>
        </w:rPr>
        <w:t xml:space="preserve"> cumulativos</w:t>
      </w:r>
      <w:r w:rsidR="000A5919" w:rsidRPr="00A92A3E">
        <w:rPr>
          <w:rFonts w:asciiTheme="minorHAnsi" w:hAnsiTheme="minorHAnsi" w:cstheme="minorHAnsi"/>
          <w:sz w:val="16"/>
          <w:szCs w:val="16"/>
        </w:rPr>
        <w:t>:</w:t>
      </w:r>
    </w:p>
    <w:p w14:paraId="2D2EC7C7" w14:textId="279577A2" w:rsidR="000A5919" w:rsidRPr="00A92A3E" w:rsidRDefault="001822AB" w:rsidP="00F5523C">
      <w:pPr>
        <w:pStyle w:val="PargrafodaLista"/>
        <w:numPr>
          <w:ilvl w:val="0"/>
          <w:numId w:val="17"/>
        </w:numPr>
        <w:rPr>
          <w:rFonts w:asciiTheme="minorHAnsi" w:hAnsiTheme="minorHAnsi" w:cstheme="minorHAnsi"/>
          <w:sz w:val="16"/>
          <w:szCs w:val="16"/>
        </w:rPr>
      </w:pPr>
      <w:r w:rsidRPr="00A92A3E">
        <w:rPr>
          <w:rFonts w:asciiTheme="minorHAnsi" w:hAnsiTheme="minorHAnsi" w:cstheme="minorHAnsi"/>
          <w:sz w:val="16"/>
          <w:szCs w:val="16"/>
        </w:rPr>
        <w:t>não ter sofrido condenação criminal ou incidido em alguma das demais situações de inelegi</w:t>
      </w:r>
      <w:r w:rsidR="00773CF6">
        <w:rPr>
          <w:rFonts w:asciiTheme="minorHAnsi" w:hAnsiTheme="minorHAnsi" w:cstheme="minorHAnsi"/>
          <w:sz w:val="16"/>
          <w:szCs w:val="16"/>
        </w:rPr>
        <w:t>bi</w:t>
      </w:r>
      <w:r w:rsidRPr="00A92A3E">
        <w:rPr>
          <w:rFonts w:asciiTheme="minorHAnsi" w:hAnsiTheme="minorHAnsi" w:cstheme="minorHAnsi"/>
          <w:sz w:val="16"/>
          <w:szCs w:val="16"/>
        </w:rPr>
        <w:t>li</w:t>
      </w:r>
      <w:r w:rsidR="00773CF6">
        <w:rPr>
          <w:rFonts w:asciiTheme="minorHAnsi" w:hAnsiTheme="minorHAnsi" w:cstheme="minorHAnsi"/>
          <w:sz w:val="16"/>
          <w:szCs w:val="16"/>
        </w:rPr>
        <w:t>dade</w:t>
      </w:r>
      <w:r w:rsid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previstas no inciso I do caput do </w:t>
      </w:r>
      <w:r w:rsidR="009B43A3" w:rsidRPr="00A92A3E">
        <w:rPr>
          <w:rFonts w:asciiTheme="minorHAnsi" w:hAnsiTheme="minorHAnsi" w:cstheme="minorHAnsi"/>
          <w:sz w:val="16"/>
          <w:szCs w:val="16"/>
        </w:rPr>
        <w:t>A</w:t>
      </w:r>
      <w:r w:rsidRPr="00A92A3E">
        <w:rPr>
          <w:rFonts w:asciiTheme="minorHAnsi" w:hAnsiTheme="minorHAnsi" w:cstheme="minorHAnsi"/>
          <w:sz w:val="16"/>
          <w:szCs w:val="16"/>
        </w:rPr>
        <w:t>rt. 1º da Lei Complementar nº 64, de 18 de maio de 1990;</w:t>
      </w:r>
    </w:p>
    <w:p w14:paraId="60A77EA4" w14:textId="77777777" w:rsidR="00BB2664" w:rsidRPr="00A92A3E" w:rsidRDefault="00BB2664" w:rsidP="00BB2664">
      <w:pPr>
        <w:pStyle w:val="PargrafodaLista"/>
        <w:rPr>
          <w:rFonts w:asciiTheme="minorHAnsi" w:hAnsiTheme="minorHAnsi" w:cstheme="minorHAnsi"/>
          <w:sz w:val="16"/>
          <w:szCs w:val="16"/>
        </w:rPr>
      </w:pPr>
    </w:p>
    <w:p w14:paraId="6458F18B" w14:textId="00DD7BAE" w:rsidR="001822AB" w:rsidRPr="00A92A3E" w:rsidRDefault="00A3487A" w:rsidP="00F5523C">
      <w:pPr>
        <w:pStyle w:val="PargrafodaLista"/>
        <w:numPr>
          <w:ilvl w:val="0"/>
          <w:numId w:val="17"/>
        </w:numPr>
        <w:rPr>
          <w:rFonts w:asciiTheme="minorHAnsi" w:hAnsiTheme="minorHAnsi" w:cstheme="minorHAnsi"/>
          <w:sz w:val="16"/>
          <w:szCs w:val="16"/>
        </w:rPr>
      </w:pPr>
      <w:r w:rsidRPr="00A92A3E">
        <w:rPr>
          <w:rFonts w:asciiTheme="minorHAnsi" w:hAnsiTheme="minorHAnsi" w:cstheme="minorHAnsi"/>
          <w:sz w:val="16"/>
          <w:szCs w:val="16"/>
        </w:rPr>
        <w:t>possuir certificação, por meio de processo realizado por entidade certificadora para comprovação de atendimento e verificação de conformidade com os requisitos técnicos necessários para o exercício de determinado carg</w:t>
      </w:r>
      <w:r w:rsidR="00663F39" w:rsidRPr="00A92A3E">
        <w:rPr>
          <w:rFonts w:asciiTheme="minorHAnsi" w:hAnsiTheme="minorHAnsi" w:cstheme="minorHAnsi"/>
          <w:sz w:val="16"/>
          <w:szCs w:val="16"/>
        </w:rPr>
        <w:t>o</w:t>
      </w:r>
      <w:r w:rsidR="00C962A4" w:rsidRPr="00A92A3E">
        <w:rPr>
          <w:rFonts w:asciiTheme="minorHAnsi" w:hAnsiTheme="minorHAnsi" w:cstheme="minorHAnsi"/>
          <w:sz w:val="16"/>
          <w:szCs w:val="16"/>
        </w:rPr>
        <w:t>;</w:t>
      </w:r>
    </w:p>
    <w:p w14:paraId="3CFD171B" w14:textId="77777777" w:rsidR="00BB2664" w:rsidRPr="00A92A3E" w:rsidRDefault="00BB2664" w:rsidP="00BB2664">
      <w:pPr>
        <w:pStyle w:val="PargrafodaLista"/>
        <w:rPr>
          <w:rFonts w:asciiTheme="minorHAnsi" w:hAnsiTheme="minorHAnsi" w:cstheme="minorHAnsi"/>
          <w:sz w:val="16"/>
          <w:szCs w:val="16"/>
        </w:rPr>
      </w:pPr>
    </w:p>
    <w:p w14:paraId="1365A1CE" w14:textId="1F9000A0" w:rsidR="00BB2664" w:rsidRPr="00A92A3E" w:rsidRDefault="004F6420" w:rsidP="00F5523C">
      <w:pPr>
        <w:pStyle w:val="PargrafodaLista"/>
        <w:numPr>
          <w:ilvl w:val="0"/>
          <w:numId w:val="17"/>
        </w:numPr>
        <w:rPr>
          <w:rFonts w:asciiTheme="minorHAnsi" w:hAnsiTheme="minorHAnsi" w:cstheme="minorHAnsi"/>
          <w:sz w:val="16"/>
          <w:szCs w:val="16"/>
        </w:rPr>
      </w:pPr>
      <w:r w:rsidRPr="00A92A3E">
        <w:rPr>
          <w:rFonts w:asciiTheme="minorHAnsi" w:hAnsiTheme="minorHAnsi" w:cstheme="minorHAnsi"/>
          <w:sz w:val="16"/>
          <w:szCs w:val="16"/>
        </w:rPr>
        <w:t>possuir comprovada experiência no exercício d</w:t>
      </w:r>
      <w:r w:rsidR="009B43A3" w:rsidRPr="00A92A3E">
        <w:rPr>
          <w:rFonts w:asciiTheme="minorHAnsi" w:hAnsiTheme="minorHAnsi" w:cstheme="minorHAnsi"/>
          <w:sz w:val="16"/>
          <w:szCs w:val="16"/>
        </w:rPr>
        <w:t>a</w:t>
      </w:r>
      <w:r w:rsidRPr="00A92A3E">
        <w:rPr>
          <w:rFonts w:asciiTheme="minorHAnsi" w:hAnsiTheme="minorHAnsi" w:cstheme="minorHAnsi"/>
          <w:sz w:val="16"/>
          <w:szCs w:val="16"/>
        </w:rPr>
        <w:t xml:space="preserve"> atividade nas áreas financeira, administrativa, contábil, jurídica, de fiscalização, atuarial ou de auditoria</w:t>
      </w:r>
      <w:r w:rsidR="009B43A3" w:rsidRPr="00A92A3E">
        <w:rPr>
          <w:rFonts w:asciiTheme="minorHAnsi" w:hAnsiTheme="minorHAnsi" w:cstheme="minorHAnsi"/>
          <w:sz w:val="16"/>
          <w:szCs w:val="16"/>
        </w:rPr>
        <w:t xml:space="preserve"> e</w:t>
      </w:r>
    </w:p>
    <w:p w14:paraId="6F034250" w14:textId="77777777" w:rsidR="004F6420" w:rsidRPr="00A92A3E" w:rsidRDefault="004F6420" w:rsidP="004F6420">
      <w:pPr>
        <w:pStyle w:val="PargrafodaLista"/>
        <w:rPr>
          <w:rFonts w:asciiTheme="minorHAnsi" w:hAnsiTheme="minorHAnsi" w:cstheme="minorHAnsi"/>
          <w:sz w:val="16"/>
          <w:szCs w:val="16"/>
        </w:rPr>
      </w:pPr>
    </w:p>
    <w:p w14:paraId="6FFD99D4" w14:textId="4AB4D6E9" w:rsidR="004F6420" w:rsidRPr="00A92A3E" w:rsidRDefault="004F6420" w:rsidP="00F5523C">
      <w:pPr>
        <w:pStyle w:val="PargrafodaLista"/>
        <w:numPr>
          <w:ilvl w:val="0"/>
          <w:numId w:val="17"/>
        </w:numPr>
        <w:rPr>
          <w:rFonts w:asciiTheme="minorHAnsi" w:hAnsiTheme="minorHAnsi" w:cstheme="minorHAnsi"/>
          <w:sz w:val="16"/>
          <w:szCs w:val="16"/>
        </w:rPr>
      </w:pPr>
      <w:r w:rsidRPr="00A92A3E">
        <w:rPr>
          <w:rFonts w:asciiTheme="minorHAnsi" w:hAnsiTheme="minorHAnsi" w:cstheme="minorHAnsi"/>
          <w:sz w:val="16"/>
          <w:szCs w:val="16"/>
        </w:rPr>
        <w:t>ter formação superior.</w:t>
      </w:r>
    </w:p>
    <w:p w14:paraId="64FFFBF2" w14:textId="03E97F74" w:rsidR="00BF7F63" w:rsidRPr="00A92A3E" w:rsidRDefault="001B233C" w:rsidP="00BF7F63">
      <w:pPr>
        <w:rPr>
          <w:rFonts w:asciiTheme="minorHAnsi" w:hAnsiTheme="minorHAnsi" w:cstheme="minorHAnsi"/>
          <w:sz w:val="16"/>
          <w:szCs w:val="16"/>
        </w:rPr>
      </w:pPr>
      <w:r w:rsidRPr="00A92A3E">
        <w:rPr>
          <w:rFonts w:asciiTheme="minorHAnsi" w:hAnsiTheme="minorHAnsi" w:cstheme="minorHAnsi"/>
          <w:sz w:val="16"/>
          <w:szCs w:val="16"/>
        </w:rPr>
        <w:t xml:space="preserve">Os critérios “a” e “b” aplicam-se aos membros dos </w:t>
      </w:r>
      <w:r w:rsidR="009B43A3" w:rsidRPr="00A92A3E">
        <w:rPr>
          <w:rFonts w:asciiTheme="minorHAnsi" w:hAnsiTheme="minorHAnsi" w:cstheme="minorHAnsi"/>
          <w:sz w:val="16"/>
          <w:szCs w:val="16"/>
        </w:rPr>
        <w:t>C</w:t>
      </w:r>
      <w:r w:rsidRPr="00A92A3E">
        <w:rPr>
          <w:rFonts w:asciiTheme="minorHAnsi" w:hAnsiTheme="minorHAnsi" w:cstheme="minorHAnsi"/>
          <w:sz w:val="16"/>
          <w:szCs w:val="16"/>
        </w:rPr>
        <w:t>onselho</w:t>
      </w:r>
      <w:r w:rsidR="00E32418" w:rsidRPr="00A92A3E">
        <w:rPr>
          <w:rFonts w:asciiTheme="minorHAnsi" w:hAnsiTheme="minorHAnsi" w:cstheme="minorHAnsi"/>
          <w:sz w:val="16"/>
          <w:szCs w:val="16"/>
        </w:rPr>
        <w:t>s</w:t>
      </w:r>
      <w:r w:rsidRPr="00A92A3E">
        <w:rPr>
          <w:rFonts w:asciiTheme="minorHAnsi" w:hAnsiTheme="minorHAnsi" w:cstheme="minorHAnsi"/>
          <w:sz w:val="16"/>
          <w:szCs w:val="16"/>
        </w:rPr>
        <w:t xml:space="preserve"> </w:t>
      </w:r>
      <w:r w:rsidR="00E32418" w:rsidRPr="00A92A3E">
        <w:rPr>
          <w:rFonts w:asciiTheme="minorHAnsi" w:hAnsiTheme="minorHAnsi" w:cstheme="minorHAnsi"/>
          <w:sz w:val="16"/>
          <w:szCs w:val="16"/>
        </w:rPr>
        <w:t>D</w:t>
      </w:r>
      <w:r w:rsidRPr="00A92A3E">
        <w:rPr>
          <w:rFonts w:asciiTheme="minorHAnsi" w:hAnsiTheme="minorHAnsi" w:cstheme="minorHAnsi"/>
          <w:sz w:val="16"/>
          <w:szCs w:val="16"/>
        </w:rPr>
        <w:t xml:space="preserve">eliberativo e </w:t>
      </w:r>
      <w:r w:rsidR="00E32418" w:rsidRPr="00A92A3E">
        <w:rPr>
          <w:rFonts w:asciiTheme="minorHAnsi" w:hAnsiTheme="minorHAnsi" w:cstheme="minorHAnsi"/>
          <w:sz w:val="16"/>
          <w:szCs w:val="16"/>
        </w:rPr>
        <w:t>F</w:t>
      </w:r>
      <w:r w:rsidRPr="00A92A3E">
        <w:rPr>
          <w:rFonts w:asciiTheme="minorHAnsi" w:hAnsiTheme="minorHAnsi" w:cstheme="minorHAnsi"/>
          <w:sz w:val="16"/>
          <w:szCs w:val="16"/>
        </w:rPr>
        <w:t xml:space="preserve">iscal e do </w:t>
      </w:r>
      <w:r w:rsidR="00E32418" w:rsidRPr="00A92A3E">
        <w:rPr>
          <w:rFonts w:asciiTheme="minorHAnsi" w:hAnsiTheme="minorHAnsi" w:cstheme="minorHAnsi"/>
          <w:sz w:val="16"/>
          <w:szCs w:val="16"/>
        </w:rPr>
        <w:t>C</w:t>
      </w:r>
      <w:r w:rsidRPr="00A92A3E">
        <w:rPr>
          <w:rFonts w:asciiTheme="minorHAnsi" w:hAnsiTheme="minorHAnsi" w:cstheme="minorHAnsi"/>
          <w:sz w:val="16"/>
          <w:szCs w:val="16"/>
        </w:rPr>
        <w:t xml:space="preserve">omitê de </w:t>
      </w:r>
      <w:r w:rsidR="00E32418" w:rsidRPr="00A92A3E">
        <w:rPr>
          <w:rFonts w:asciiTheme="minorHAnsi" w:hAnsiTheme="minorHAnsi" w:cstheme="minorHAnsi"/>
          <w:sz w:val="16"/>
          <w:szCs w:val="16"/>
        </w:rPr>
        <w:t>I</w:t>
      </w:r>
      <w:r w:rsidRPr="00A92A3E">
        <w:rPr>
          <w:rFonts w:asciiTheme="minorHAnsi" w:hAnsiTheme="minorHAnsi" w:cstheme="minorHAnsi"/>
          <w:sz w:val="16"/>
          <w:szCs w:val="16"/>
        </w:rPr>
        <w:t>nvestimentos.</w:t>
      </w:r>
    </w:p>
    <w:p w14:paraId="74B07A56" w14:textId="14F83110" w:rsidR="003057F4" w:rsidRPr="00A92A3E" w:rsidRDefault="003057F4" w:rsidP="00BF7F63">
      <w:pPr>
        <w:rPr>
          <w:rFonts w:asciiTheme="minorHAnsi" w:hAnsiTheme="minorHAnsi" w:cstheme="minorHAnsi"/>
          <w:sz w:val="16"/>
          <w:szCs w:val="16"/>
        </w:rPr>
      </w:pPr>
      <w:r w:rsidRPr="00A92A3E">
        <w:rPr>
          <w:rFonts w:asciiTheme="minorHAnsi" w:hAnsiTheme="minorHAnsi" w:cstheme="minorHAnsi"/>
          <w:sz w:val="16"/>
          <w:szCs w:val="16"/>
        </w:rPr>
        <w:t>No âmbito das Certificaç</w:t>
      </w:r>
      <w:r w:rsidR="009B43A3" w:rsidRPr="00A92A3E">
        <w:rPr>
          <w:rFonts w:asciiTheme="minorHAnsi" w:hAnsiTheme="minorHAnsi" w:cstheme="minorHAnsi"/>
          <w:sz w:val="16"/>
          <w:szCs w:val="16"/>
        </w:rPr>
        <w:t>ão</w:t>
      </w:r>
      <w:r w:rsidRPr="00A92A3E">
        <w:rPr>
          <w:rFonts w:asciiTheme="minorHAnsi" w:hAnsiTheme="minorHAnsi" w:cstheme="minorHAnsi"/>
          <w:sz w:val="16"/>
          <w:szCs w:val="16"/>
        </w:rPr>
        <w:t xml:space="preserve"> RPPS</w:t>
      </w:r>
      <w:r w:rsidR="00203812" w:rsidRPr="00A92A3E">
        <w:rPr>
          <w:rFonts w:asciiTheme="minorHAnsi" w:hAnsiTheme="minorHAnsi" w:cstheme="minorHAnsi"/>
          <w:sz w:val="16"/>
          <w:szCs w:val="16"/>
        </w:rPr>
        <w:t xml:space="preserve">, ficam os </w:t>
      </w:r>
      <w:r w:rsidR="00D83097" w:rsidRPr="00A92A3E">
        <w:rPr>
          <w:rFonts w:asciiTheme="minorHAnsi" w:hAnsiTheme="minorHAnsi" w:cstheme="minorHAnsi"/>
          <w:sz w:val="16"/>
          <w:szCs w:val="16"/>
        </w:rPr>
        <w:t>dirigentes, membros dos conselhos Deliberativo e Fiscal</w:t>
      </w:r>
      <w:r w:rsidR="0034682A" w:rsidRPr="00A92A3E">
        <w:rPr>
          <w:rFonts w:asciiTheme="minorHAnsi" w:hAnsiTheme="minorHAnsi" w:cstheme="minorHAnsi"/>
          <w:sz w:val="16"/>
          <w:szCs w:val="16"/>
        </w:rPr>
        <w:t xml:space="preserve">, o </w:t>
      </w:r>
      <w:r w:rsidR="009B43A3" w:rsidRPr="00A92A3E">
        <w:rPr>
          <w:rFonts w:asciiTheme="minorHAnsi" w:hAnsiTheme="minorHAnsi" w:cstheme="minorHAnsi"/>
          <w:sz w:val="16"/>
          <w:szCs w:val="16"/>
        </w:rPr>
        <w:t>G</w:t>
      </w:r>
      <w:r w:rsidR="0034682A" w:rsidRPr="00A92A3E">
        <w:rPr>
          <w:rFonts w:asciiTheme="minorHAnsi" w:hAnsiTheme="minorHAnsi" w:cstheme="minorHAnsi"/>
          <w:sz w:val="16"/>
          <w:szCs w:val="16"/>
        </w:rPr>
        <w:t xml:space="preserve">estor dos </w:t>
      </w:r>
      <w:r w:rsidR="009B43A3" w:rsidRPr="00A92A3E">
        <w:rPr>
          <w:rFonts w:asciiTheme="minorHAnsi" w:hAnsiTheme="minorHAnsi" w:cstheme="minorHAnsi"/>
          <w:sz w:val="16"/>
          <w:szCs w:val="16"/>
        </w:rPr>
        <w:t>R</w:t>
      </w:r>
      <w:r w:rsidR="0034682A" w:rsidRPr="00A92A3E">
        <w:rPr>
          <w:rFonts w:asciiTheme="minorHAnsi" w:hAnsiTheme="minorHAnsi" w:cstheme="minorHAnsi"/>
          <w:sz w:val="16"/>
          <w:szCs w:val="16"/>
        </w:rPr>
        <w:t>ecursos e os membros do Comitê de Investimentos,</w:t>
      </w:r>
      <w:r w:rsidR="00203812" w:rsidRPr="00A92A3E">
        <w:rPr>
          <w:rFonts w:asciiTheme="minorHAnsi" w:hAnsiTheme="minorHAnsi" w:cstheme="minorHAnsi"/>
          <w:sz w:val="16"/>
          <w:szCs w:val="16"/>
        </w:rPr>
        <w:t xml:space="preserve"> obrigad</w:t>
      </w:r>
      <w:r w:rsidR="0034682A" w:rsidRPr="00A92A3E">
        <w:rPr>
          <w:rFonts w:asciiTheme="minorHAnsi" w:hAnsiTheme="minorHAnsi" w:cstheme="minorHAnsi"/>
          <w:sz w:val="16"/>
          <w:szCs w:val="16"/>
        </w:rPr>
        <w:t>os</w:t>
      </w:r>
      <w:r w:rsidR="00203812" w:rsidRPr="00A92A3E">
        <w:rPr>
          <w:rFonts w:asciiTheme="minorHAnsi" w:hAnsiTheme="minorHAnsi" w:cstheme="minorHAnsi"/>
          <w:sz w:val="16"/>
          <w:szCs w:val="16"/>
        </w:rPr>
        <w:t xml:space="preserve"> a apresentar </w:t>
      </w:r>
      <w:r w:rsidR="0034682A" w:rsidRPr="00A92A3E">
        <w:rPr>
          <w:rFonts w:asciiTheme="minorHAnsi" w:hAnsiTheme="minorHAnsi" w:cstheme="minorHAnsi"/>
          <w:sz w:val="16"/>
          <w:szCs w:val="16"/>
        </w:rPr>
        <w:t xml:space="preserve">suas respectivas Certificações </w:t>
      </w:r>
      <w:r w:rsidR="00203812" w:rsidRPr="00A92A3E">
        <w:rPr>
          <w:rFonts w:asciiTheme="minorHAnsi" w:hAnsiTheme="minorHAnsi" w:cstheme="minorHAnsi"/>
          <w:sz w:val="16"/>
          <w:szCs w:val="16"/>
        </w:rPr>
        <w:t xml:space="preserve">nos prazos </w:t>
      </w:r>
      <w:r w:rsidR="006A1DFA" w:rsidRPr="00A92A3E">
        <w:rPr>
          <w:rFonts w:asciiTheme="minorHAnsi" w:hAnsiTheme="minorHAnsi" w:cstheme="minorHAnsi"/>
          <w:sz w:val="16"/>
          <w:szCs w:val="16"/>
        </w:rPr>
        <w:t xml:space="preserve">definidos no Manual da Certificação </w:t>
      </w:r>
      <w:r w:rsidR="00DC0D5D" w:rsidRPr="00A92A3E">
        <w:rPr>
          <w:rFonts w:asciiTheme="minorHAnsi" w:hAnsiTheme="minorHAnsi" w:cstheme="minorHAnsi"/>
          <w:sz w:val="16"/>
          <w:szCs w:val="16"/>
        </w:rPr>
        <w:t xml:space="preserve">Profissional RPPS </w:t>
      </w:r>
      <w:r w:rsidR="000B1042" w:rsidRPr="00A92A3E">
        <w:rPr>
          <w:rFonts w:asciiTheme="minorHAnsi" w:hAnsiTheme="minorHAnsi" w:cstheme="minorHAnsi"/>
          <w:sz w:val="16"/>
          <w:szCs w:val="16"/>
        </w:rPr>
        <w:t>versão 1.1</w:t>
      </w:r>
      <w:r w:rsidR="00DC0D5D" w:rsidRPr="00A92A3E">
        <w:rPr>
          <w:rStyle w:val="Refdenotaderodap"/>
          <w:rFonts w:asciiTheme="minorHAnsi" w:hAnsiTheme="minorHAnsi" w:cstheme="minorHAnsi"/>
          <w:sz w:val="16"/>
          <w:szCs w:val="16"/>
        </w:rPr>
        <w:footnoteReference w:id="2"/>
      </w:r>
      <w:r w:rsidR="000B1042" w:rsidRPr="00A92A3E">
        <w:rPr>
          <w:rFonts w:asciiTheme="minorHAnsi" w:hAnsiTheme="minorHAnsi" w:cstheme="minorHAnsi"/>
          <w:sz w:val="16"/>
          <w:szCs w:val="16"/>
        </w:rPr>
        <w:t xml:space="preserve"> </w:t>
      </w:r>
      <w:r w:rsidR="0034682A" w:rsidRPr="00A92A3E">
        <w:rPr>
          <w:rFonts w:asciiTheme="minorHAnsi" w:hAnsiTheme="minorHAnsi" w:cstheme="minorHAnsi"/>
          <w:sz w:val="16"/>
          <w:szCs w:val="16"/>
        </w:rPr>
        <w:t xml:space="preserve">e suas </w:t>
      </w:r>
      <w:r w:rsidR="00DC0D5D" w:rsidRPr="00A92A3E">
        <w:rPr>
          <w:rFonts w:asciiTheme="minorHAnsi" w:hAnsiTheme="minorHAnsi" w:cstheme="minorHAnsi"/>
          <w:sz w:val="16"/>
          <w:szCs w:val="16"/>
        </w:rPr>
        <w:t xml:space="preserve">possíveis </w:t>
      </w:r>
      <w:r w:rsidR="0034682A" w:rsidRPr="00A92A3E">
        <w:rPr>
          <w:rFonts w:asciiTheme="minorHAnsi" w:hAnsiTheme="minorHAnsi" w:cstheme="minorHAnsi"/>
          <w:sz w:val="16"/>
          <w:szCs w:val="16"/>
        </w:rPr>
        <w:t>atualizações</w:t>
      </w:r>
      <w:r w:rsidR="00BF7E70" w:rsidRPr="00A92A3E">
        <w:rPr>
          <w:rFonts w:asciiTheme="minorHAnsi" w:hAnsiTheme="minorHAnsi" w:cstheme="minorHAnsi"/>
          <w:sz w:val="16"/>
          <w:szCs w:val="16"/>
        </w:rPr>
        <w:t>.</w:t>
      </w:r>
    </w:p>
    <w:p w14:paraId="7BDCCC6D" w14:textId="0769DDFC" w:rsidR="00BF7E70" w:rsidRPr="00A92A3E" w:rsidRDefault="00BF7E70" w:rsidP="00741BBB">
      <w:pPr>
        <w:jc w:val="center"/>
        <w:rPr>
          <w:rFonts w:asciiTheme="minorHAnsi" w:hAnsiTheme="minorHAnsi" w:cstheme="minorHAnsi"/>
          <w:b/>
          <w:bCs/>
          <w:sz w:val="16"/>
          <w:szCs w:val="16"/>
        </w:rPr>
      </w:pPr>
      <w:r w:rsidRPr="00A92A3E">
        <w:rPr>
          <w:rFonts w:asciiTheme="minorHAnsi" w:hAnsiTheme="minorHAnsi" w:cstheme="minorHAnsi"/>
          <w:b/>
          <w:bCs/>
          <w:sz w:val="16"/>
          <w:szCs w:val="16"/>
        </w:rPr>
        <w:t>Tabela de Classificação das Certificações RPPS</w:t>
      </w:r>
    </w:p>
    <w:tbl>
      <w:tblPr>
        <w:tblStyle w:val="TabeladeGrade4"/>
        <w:tblW w:w="0" w:type="auto"/>
        <w:jc w:val="center"/>
        <w:tblLook w:val="04A0" w:firstRow="1" w:lastRow="0" w:firstColumn="1" w:lastColumn="0" w:noHBand="0" w:noVBand="1"/>
      </w:tblPr>
      <w:tblGrid>
        <w:gridCol w:w="4189"/>
        <w:gridCol w:w="1760"/>
      </w:tblGrid>
      <w:tr w:rsidR="00D347DF" w:rsidRPr="00A92A3E" w14:paraId="79D2D908" w14:textId="77777777" w:rsidTr="00C803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030CAA" w14:textId="45AE0E3D" w:rsidR="00D347DF" w:rsidRPr="00A92A3E" w:rsidRDefault="00D347DF" w:rsidP="00C80391">
            <w:pPr>
              <w:spacing w:before="0" w:after="0"/>
              <w:jc w:val="center"/>
              <w:rPr>
                <w:rFonts w:asciiTheme="minorHAnsi" w:hAnsiTheme="minorHAnsi" w:cstheme="minorHAnsi"/>
                <w:b w:val="0"/>
                <w:bCs w:val="0"/>
                <w:color w:val="FFFFFF" w:themeColor="background1"/>
                <w:sz w:val="16"/>
                <w:szCs w:val="16"/>
              </w:rPr>
            </w:pPr>
            <w:r w:rsidRPr="00A92A3E">
              <w:rPr>
                <w:rFonts w:asciiTheme="minorHAnsi" w:hAnsiTheme="minorHAnsi" w:cstheme="minorHAnsi"/>
                <w:b w:val="0"/>
                <w:bCs w:val="0"/>
                <w:color w:val="FFFFFF" w:themeColor="background1"/>
                <w:sz w:val="16"/>
                <w:szCs w:val="16"/>
              </w:rPr>
              <w:t>Atribuições</w:t>
            </w:r>
          </w:p>
        </w:tc>
        <w:tc>
          <w:tcPr>
            <w:tcW w:w="1760" w:type="dxa"/>
            <w:vAlign w:val="center"/>
          </w:tcPr>
          <w:p w14:paraId="7D09BE34" w14:textId="48978377" w:rsidR="00D347DF" w:rsidRPr="00A92A3E" w:rsidRDefault="00D347DF" w:rsidP="00C80391">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6"/>
                <w:szCs w:val="16"/>
              </w:rPr>
            </w:pPr>
            <w:r w:rsidRPr="00A92A3E">
              <w:rPr>
                <w:rFonts w:asciiTheme="minorHAnsi" w:hAnsiTheme="minorHAnsi" w:cstheme="minorHAnsi"/>
                <w:b w:val="0"/>
                <w:bCs w:val="0"/>
                <w:color w:val="FFFFFF" w:themeColor="background1"/>
                <w:sz w:val="16"/>
                <w:szCs w:val="16"/>
              </w:rPr>
              <w:t>Certificação</w:t>
            </w:r>
          </w:p>
        </w:tc>
      </w:tr>
      <w:tr w:rsidR="00D347DF" w:rsidRPr="00A92A3E" w14:paraId="2D509053" w14:textId="77777777" w:rsidTr="00C80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DD09C2" w14:textId="59E923A5" w:rsidR="00D347DF" w:rsidRPr="00A92A3E" w:rsidRDefault="00E94B39" w:rsidP="00C80391">
            <w:pPr>
              <w:spacing w:before="0" w:after="0"/>
              <w:jc w:val="center"/>
              <w:rPr>
                <w:rFonts w:asciiTheme="minorHAnsi" w:hAnsiTheme="minorHAnsi" w:cstheme="minorHAnsi"/>
                <w:b w:val="0"/>
                <w:bCs w:val="0"/>
                <w:sz w:val="16"/>
                <w:szCs w:val="16"/>
              </w:rPr>
            </w:pPr>
            <w:r w:rsidRPr="00A92A3E">
              <w:rPr>
                <w:rFonts w:asciiTheme="minorHAnsi" w:hAnsiTheme="minorHAnsi" w:cstheme="minorHAnsi"/>
                <w:b w:val="0"/>
                <w:bCs w:val="0"/>
                <w:sz w:val="16"/>
                <w:szCs w:val="16"/>
              </w:rPr>
              <w:t>Dirigentes do RPPS</w:t>
            </w:r>
          </w:p>
        </w:tc>
        <w:tc>
          <w:tcPr>
            <w:tcW w:w="1760" w:type="dxa"/>
            <w:vAlign w:val="center"/>
          </w:tcPr>
          <w:p w14:paraId="42CC2913" w14:textId="192C1C42" w:rsidR="00D347DF" w:rsidRPr="00A92A3E" w:rsidRDefault="00E94B39" w:rsidP="00C80391">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92A3E">
              <w:rPr>
                <w:rFonts w:asciiTheme="minorHAnsi" w:hAnsiTheme="minorHAnsi" w:cstheme="minorHAnsi"/>
                <w:sz w:val="16"/>
                <w:szCs w:val="16"/>
              </w:rPr>
              <w:t>CP RPPS DIRIG</w:t>
            </w:r>
          </w:p>
        </w:tc>
      </w:tr>
      <w:tr w:rsidR="00D347DF" w:rsidRPr="00A92A3E" w14:paraId="62639E3C" w14:textId="77777777" w:rsidTr="00C80391">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BD9281" w14:textId="77E974B5" w:rsidR="00D347DF" w:rsidRPr="00A92A3E" w:rsidRDefault="00E94B39" w:rsidP="00C80391">
            <w:pPr>
              <w:spacing w:before="0" w:after="0"/>
              <w:jc w:val="center"/>
              <w:rPr>
                <w:rFonts w:asciiTheme="minorHAnsi" w:hAnsiTheme="minorHAnsi" w:cstheme="minorHAnsi"/>
                <w:b w:val="0"/>
                <w:bCs w:val="0"/>
                <w:sz w:val="16"/>
                <w:szCs w:val="16"/>
              </w:rPr>
            </w:pPr>
            <w:r w:rsidRPr="00A92A3E">
              <w:rPr>
                <w:rFonts w:asciiTheme="minorHAnsi" w:hAnsiTheme="minorHAnsi" w:cstheme="minorHAnsi"/>
                <w:b w:val="0"/>
                <w:bCs w:val="0"/>
                <w:sz w:val="16"/>
                <w:szCs w:val="16"/>
              </w:rPr>
              <w:t>Membros do Conselho Deliberativo</w:t>
            </w:r>
          </w:p>
        </w:tc>
        <w:tc>
          <w:tcPr>
            <w:tcW w:w="1760" w:type="dxa"/>
            <w:vAlign w:val="center"/>
          </w:tcPr>
          <w:p w14:paraId="31AA03E1" w14:textId="6908CA98" w:rsidR="00D347DF" w:rsidRPr="00A92A3E" w:rsidRDefault="002878F7" w:rsidP="00C8039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92A3E">
              <w:rPr>
                <w:rFonts w:asciiTheme="minorHAnsi" w:hAnsiTheme="minorHAnsi" w:cstheme="minorHAnsi"/>
                <w:sz w:val="16"/>
                <w:szCs w:val="16"/>
              </w:rPr>
              <w:t>CP RPPS CODEL</w:t>
            </w:r>
          </w:p>
        </w:tc>
      </w:tr>
      <w:tr w:rsidR="00D347DF" w:rsidRPr="00A92A3E" w14:paraId="38ABEA83" w14:textId="77777777" w:rsidTr="00C80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BA5949" w14:textId="0BA6F7D3" w:rsidR="00D347DF" w:rsidRPr="00A92A3E" w:rsidRDefault="002878F7" w:rsidP="00C80391">
            <w:pPr>
              <w:spacing w:before="0" w:after="0"/>
              <w:jc w:val="center"/>
              <w:rPr>
                <w:rFonts w:asciiTheme="minorHAnsi" w:hAnsiTheme="minorHAnsi" w:cstheme="minorHAnsi"/>
                <w:b w:val="0"/>
                <w:bCs w:val="0"/>
                <w:sz w:val="16"/>
                <w:szCs w:val="16"/>
              </w:rPr>
            </w:pPr>
            <w:r w:rsidRPr="00A92A3E">
              <w:rPr>
                <w:rFonts w:asciiTheme="minorHAnsi" w:hAnsiTheme="minorHAnsi" w:cstheme="minorHAnsi"/>
                <w:b w:val="0"/>
                <w:bCs w:val="0"/>
                <w:sz w:val="16"/>
                <w:szCs w:val="16"/>
              </w:rPr>
              <w:t>Membros do Conselho Fiscal</w:t>
            </w:r>
          </w:p>
        </w:tc>
        <w:tc>
          <w:tcPr>
            <w:tcW w:w="1760" w:type="dxa"/>
            <w:vAlign w:val="center"/>
          </w:tcPr>
          <w:p w14:paraId="6200182A" w14:textId="267CB7EF" w:rsidR="00D347DF" w:rsidRPr="00A92A3E" w:rsidRDefault="002878F7" w:rsidP="00C80391">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92A3E">
              <w:rPr>
                <w:rFonts w:asciiTheme="minorHAnsi" w:hAnsiTheme="minorHAnsi" w:cstheme="minorHAnsi"/>
                <w:sz w:val="16"/>
                <w:szCs w:val="16"/>
              </w:rPr>
              <w:t>CP RPPS COFIS</w:t>
            </w:r>
          </w:p>
        </w:tc>
      </w:tr>
      <w:tr w:rsidR="00D347DF" w:rsidRPr="00A92A3E" w14:paraId="6C3B2962" w14:textId="77777777" w:rsidTr="00C80391">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650629B" w14:textId="1F205D08" w:rsidR="00D347DF" w:rsidRPr="00A92A3E" w:rsidRDefault="002878F7" w:rsidP="00C80391">
            <w:pPr>
              <w:spacing w:before="0" w:after="0"/>
              <w:jc w:val="center"/>
              <w:rPr>
                <w:rFonts w:asciiTheme="minorHAnsi" w:hAnsiTheme="minorHAnsi" w:cstheme="minorHAnsi"/>
                <w:b w:val="0"/>
                <w:bCs w:val="0"/>
                <w:sz w:val="16"/>
                <w:szCs w:val="16"/>
              </w:rPr>
            </w:pPr>
            <w:r w:rsidRPr="00A92A3E">
              <w:rPr>
                <w:rFonts w:asciiTheme="minorHAnsi" w:hAnsiTheme="minorHAnsi" w:cstheme="minorHAnsi"/>
                <w:b w:val="0"/>
                <w:bCs w:val="0"/>
                <w:sz w:val="16"/>
                <w:szCs w:val="16"/>
              </w:rPr>
              <w:t>Gestor dos Recursos e Membros do Comitê de Investimentos</w:t>
            </w:r>
          </w:p>
        </w:tc>
        <w:tc>
          <w:tcPr>
            <w:tcW w:w="1760" w:type="dxa"/>
            <w:vAlign w:val="center"/>
          </w:tcPr>
          <w:p w14:paraId="44E3A4EE" w14:textId="1A62FA19" w:rsidR="00D347DF" w:rsidRPr="00A92A3E" w:rsidRDefault="002878F7" w:rsidP="00C80391">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92A3E">
              <w:rPr>
                <w:rFonts w:asciiTheme="minorHAnsi" w:hAnsiTheme="minorHAnsi" w:cstheme="minorHAnsi"/>
                <w:sz w:val="16"/>
                <w:szCs w:val="16"/>
              </w:rPr>
              <w:t>CP RPPS CGINV</w:t>
            </w:r>
          </w:p>
        </w:tc>
      </w:tr>
    </w:tbl>
    <w:p w14:paraId="01EE1218" w14:textId="77777777" w:rsidR="00635488" w:rsidRPr="00A92A3E" w:rsidRDefault="00635488" w:rsidP="00BF7F63">
      <w:pPr>
        <w:rPr>
          <w:rFonts w:asciiTheme="minorHAnsi" w:hAnsiTheme="minorHAnsi" w:cstheme="minorHAnsi"/>
          <w:sz w:val="16"/>
          <w:szCs w:val="16"/>
        </w:rPr>
      </w:pPr>
    </w:p>
    <w:p w14:paraId="2482E1FE" w14:textId="1CC66E97" w:rsidR="00BF7F63" w:rsidRPr="00A92A3E" w:rsidRDefault="0027210D" w:rsidP="00BF7F63">
      <w:pPr>
        <w:rPr>
          <w:rFonts w:asciiTheme="minorHAnsi" w:hAnsiTheme="minorHAnsi" w:cstheme="minorHAnsi"/>
          <w:sz w:val="16"/>
          <w:szCs w:val="16"/>
        </w:rPr>
      </w:pPr>
      <w:r w:rsidRPr="00A92A3E">
        <w:rPr>
          <w:rFonts w:asciiTheme="minorHAnsi" w:hAnsiTheme="minorHAnsi" w:cstheme="minorHAnsi"/>
          <w:sz w:val="16"/>
          <w:szCs w:val="16"/>
        </w:rPr>
        <w:t xml:space="preserve">Será de responsabilidade </w:t>
      </w:r>
      <w:r w:rsidR="00E463FF" w:rsidRPr="00A92A3E">
        <w:rPr>
          <w:rFonts w:asciiTheme="minorHAnsi" w:hAnsiTheme="minorHAnsi" w:cstheme="minorHAnsi"/>
          <w:sz w:val="16"/>
          <w:szCs w:val="16"/>
        </w:rPr>
        <w:t xml:space="preserve">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00E35B8A" w:rsidRPr="00A92A3E">
        <w:rPr>
          <w:rFonts w:asciiTheme="minorHAnsi" w:hAnsiTheme="minorHAnsi" w:cstheme="minorHAnsi"/>
          <w:sz w:val="16"/>
          <w:szCs w:val="16"/>
        </w:rPr>
        <w:t xml:space="preserve">e do Ente Federativo a verificação dos </w:t>
      </w:r>
      <w:r w:rsidR="0047108B" w:rsidRPr="00A92A3E">
        <w:rPr>
          <w:rFonts w:asciiTheme="minorHAnsi" w:hAnsiTheme="minorHAnsi" w:cstheme="minorHAnsi"/>
          <w:sz w:val="16"/>
          <w:szCs w:val="16"/>
        </w:rPr>
        <w:t xml:space="preserve">critérios descritos acima, bem como </w:t>
      </w:r>
      <w:r w:rsidR="00A81FDC" w:rsidRPr="00A92A3E">
        <w:rPr>
          <w:rFonts w:asciiTheme="minorHAnsi" w:hAnsiTheme="minorHAnsi" w:cstheme="minorHAnsi"/>
          <w:sz w:val="16"/>
          <w:szCs w:val="16"/>
        </w:rPr>
        <w:t xml:space="preserve">o encaminhamento da informação à </w:t>
      </w:r>
      <w:r w:rsidR="00A051A3" w:rsidRPr="00A92A3E">
        <w:rPr>
          <w:rFonts w:asciiTheme="minorHAnsi" w:hAnsiTheme="minorHAnsi" w:cstheme="minorHAnsi"/>
          <w:sz w:val="16"/>
          <w:szCs w:val="16"/>
        </w:rPr>
        <w:t>Secretaria de Previdência</w:t>
      </w:r>
      <w:r w:rsidR="00A81FDC" w:rsidRPr="00A92A3E">
        <w:rPr>
          <w:rFonts w:asciiTheme="minorHAnsi" w:hAnsiTheme="minorHAnsi" w:cstheme="minorHAnsi"/>
          <w:sz w:val="16"/>
          <w:szCs w:val="16"/>
        </w:rPr>
        <w:t>.</w:t>
      </w:r>
    </w:p>
    <w:p w14:paraId="112115DA" w14:textId="027CC13C" w:rsidR="009B2D82" w:rsidRPr="00A92A3E" w:rsidRDefault="00157AAF" w:rsidP="00157AAF">
      <w:pPr>
        <w:rPr>
          <w:rFonts w:asciiTheme="minorHAnsi" w:hAnsiTheme="minorHAnsi" w:cstheme="minorHAnsi"/>
          <w:sz w:val="16"/>
          <w:szCs w:val="16"/>
        </w:rPr>
      </w:pPr>
      <w:r w:rsidRPr="00A92A3E">
        <w:rPr>
          <w:rFonts w:asciiTheme="minorHAnsi" w:hAnsiTheme="minorHAnsi" w:cstheme="minorHAnsi"/>
          <w:sz w:val="16"/>
          <w:szCs w:val="16"/>
        </w:rPr>
        <w:t xml:space="preserve">A comprovação do critério “a” será exigida </w:t>
      </w:r>
      <w:r w:rsidR="00534A39" w:rsidRPr="00A92A3E">
        <w:rPr>
          <w:rFonts w:asciiTheme="minorHAnsi" w:hAnsiTheme="minorHAnsi" w:cstheme="minorHAnsi"/>
          <w:sz w:val="16"/>
          <w:szCs w:val="16"/>
        </w:rPr>
        <w:t xml:space="preserve">sua atualização </w:t>
      </w:r>
      <w:r w:rsidRPr="00A92A3E">
        <w:rPr>
          <w:rFonts w:asciiTheme="minorHAnsi" w:hAnsiTheme="minorHAnsi" w:cstheme="minorHAnsi"/>
          <w:sz w:val="16"/>
          <w:szCs w:val="16"/>
        </w:rPr>
        <w:t>a cada 2 (dois) anos</w:t>
      </w:r>
      <w:r w:rsidR="00CE5DF4" w:rsidRPr="00A92A3E">
        <w:rPr>
          <w:rFonts w:asciiTheme="minorHAnsi" w:hAnsiTheme="minorHAnsi" w:cstheme="minorHAnsi"/>
          <w:sz w:val="16"/>
          <w:szCs w:val="16"/>
        </w:rPr>
        <w:t xml:space="preserve"> e havendo ocorrência </w:t>
      </w:r>
      <w:r w:rsidR="00534A39" w:rsidRPr="00A92A3E">
        <w:rPr>
          <w:rFonts w:asciiTheme="minorHAnsi" w:hAnsiTheme="minorHAnsi" w:cstheme="minorHAnsi"/>
          <w:sz w:val="16"/>
          <w:szCs w:val="16"/>
        </w:rPr>
        <w:t>de positivo</w:t>
      </w:r>
      <w:r w:rsidR="008B52DE" w:rsidRPr="00A92A3E">
        <w:rPr>
          <w:rFonts w:asciiTheme="minorHAnsi" w:hAnsiTheme="minorHAnsi" w:cstheme="minorHAnsi"/>
          <w:sz w:val="16"/>
          <w:szCs w:val="16"/>
        </w:rPr>
        <w:t>, os profissionais deixarão de ser considerados como habilitados para as correspondentes funções desde a data de implementação do ato ou fato obs</w:t>
      </w:r>
      <w:r w:rsidR="00BC69C5" w:rsidRPr="00A92A3E">
        <w:rPr>
          <w:rFonts w:asciiTheme="minorHAnsi" w:hAnsiTheme="minorHAnsi" w:cstheme="minorHAnsi"/>
          <w:sz w:val="16"/>
          <w:szCs w:val="16"/>
        </w:rPr>
        <w:t>tativo.</w:t>
      </w:r>
    </w:p>
    <w:p w14:paraId="42D89278" w14:textId="50200FE2" w:rsidR="004A114E" w:rsidRPr="00A92A3E" w:rsidRDefault="00896F5B" w:rsidP="00157AAF">
      <w:pPr>
        <w:rPr>
          <w:rFonts w:asciiTheme="minorHAnsi" w:hAnsiTheme="minorHAnsi" w:cstheme="minorHAnsi"/>
          <w:sz w:val="16"/>
          <w:szCs w:val="16"/>
        </w:rPr>
      </w:pPr>
      <w:r w:rsidRPr="00A92A3E">
        <w:rPr>
          <w:rFonts w:asciiTheme="minorHAnsi" w:hAnsiTheme="minorHAnsi" w:cstheme="minorHAnsi"/>
          <w:sz w:val="16"/>
          <w:szCs w:val="16"/>
        </w:rPr>
        <w:t>A comprovação do critério “b” deverá ser efetuada com a apresentação do certificado emitido após a conquista da Certificação RPPS.</w:t>
      </w:r>
    </w:p>
    <w:p w14:paraId="5D617097" w14:textId="64379A00" w:rsidR="00500AE2" w:rsidRPr="00A92A3E" w:rsidRDefault="005321C1" w:rsidP="00DC2258">
      <w:pPr>
        <w:pStyle w:val="Ttulo2"/>
        <w:rPr>
          <w:rFonts w:asciiTheme="minorHAnsi" w:hAnsiTheme="minorHAnsi" w:cstheme="minorHAnsi"/>
          <w:sz w:val="16"/>
          <w:szCs w:val="16"/>
        </w:rPr>
      </w:pPr>
      <w:r w:rsidRPr="00A92A3E">
        <w:rPr>
          <w:rFonts w:asciiTheme="minorHAnsi" w:hAnsiTheme="minorHAnsi" w:cstheme="minorHAnsi"/>
          <w:sz w:val="16"/>
          <w:szCs w:val="16"/>
        </w:rPr>
        <w:lastRenderedPageBreak/>
        <w:t>Consultoria de Valores Mobiliários</w:t>
      </w:r>
      <w:bookmarkEnd w:id="21"/>
    </w:p>
    <w:p w14:paraId="7E294A16" w14:textId="460EF2D1"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tem a prerrogativa da contratação de empresa de Consultoria de Valores Mobiliários, de acordo com os critérios estabelecidos na Resolução CMN nº 4.963/2021, Portaria</w:t>
      </w:r>
      <w:r w:rsidR="004E7ED2" w:rsidRPr="00A92A3E">
        <w:rPr>
          <w:rFonts w:asciiTheme="minorHAnsi" w:hAnsiTheme="minorHAnsi" w:cstheme="minorHAnsi"/>
          <w:sz w:val="16"/>
          <w:szCs w:val="16"/>
        </w:rPr>
        <w:t xml:space="preserve"> MTP</w:t>
      </w:r>
      <w:r w:rsidRPr="00A92A3E">
        <w:rPr>
          <w:rFonts w:asciiTheme="minorHAnsi" w:hAnsiTheme="minorHAnsi" w:cstheme="minorHAnsi"/>
          <w:sz w:val="16"/>
          <w:szCs w:val="16"/>
        </w:rPr>
        <w:t xml:space="preserve"> n° 1.467/2022 com suas alterações e Resolução CVM nº 19/2021, na prestação dos serviços de </w:t>
      </w:r>
      <w:r w:rsidRPr="00A92A3E">
        <w:rPr>
          <w:rFonts w:asciiTheme="minorHAnsi" w:hAnsiTheme="minorHAnsi" w:cstheme="minorHAnsi"/>
          <w:b/>
          <w:sz w:val="16"/>
          <w:szCs w:val="16"/>
        </w:rPr>
        <w:t>orientação, recomendação e aconselhamento</w:t>
      </w:r>
      <w:r w:rsidRPr="00A92A3E">
        <w:rPr>
          <w:rFonts w:asciiTheme="minorHAnsi" w:hAnsiTheme="minorHAnsi" w:cstheme="minorHAnsi"/>
          <w:sz w:val="16"/>
          <w:szCs w:val="16"/>
        </w:rPr>
        <w:t xml:space="preserve">, sobre investimentos no mercado de valores mobiliários, cuja adoção é de única e exclusiva responsabilidade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w:t>
      </w:r>
    </w:p>
    <w:p w14:paraId="110C2A27" w14:textId="234B175E"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Para a efetiva contratação da empresa de Consultoria de Valores Mobiliários,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deverá realizar diligência e avaliação quanto ao perfil dos interessados, considerando no mínimo os critérios definidos abaixo:</w:t>
      </w:r>
    </w:p>
    <w:p w14:paraId="1AB9CCE6" w14:textId="77777777" w:rsidR="00500AE2" w:rsidRPr="00A92A3E" w:rsidRDefault="00500AE2" w:rsidP="00F5523C">
      <w:pPr>
        <w:pStyle w:val="PargrafodaLista"/>
        <w:numPr>
          <w:ilvl w:val="0"/>
          <w:numId w:val="3"/>
        </w:numPr>
        <w:rPr>
          <w:rFonts w:asciiTheme="minorHAnsi" w:hAnsiTheme="minorHAnsi" w:cstheme="minorHAnsi"/>
          <w:sz w:val="16"/>
          <w:szCs w:val="16"/>
        </w:rPr>
      </w:pPr>
      <w:r w:rsidRPr="00A92A3E">
        <w:rPr>
          <w:rFonts w:asciiTheme="minorHAnsi" w:hAnsiTheme="minorHAnsi" w:cstheme="minorHAnsi"/>
          <w:sz w:val="16"/>
          <w:szCs w:val="16"/>
        </w:rPr>
        <w:t>Que a prestação dos serviços de orientação, recomendação e aconselhamento seja de forma profissional, sobre investimentos no mercado de valores mobiliários;</w:t>
      </w:r>
    </w:p>
    <w:p w14:paraId="64F645E8" w14:textId="77777777" w:rsidR="00500AE2" w:rsidRPr="00A92A3E" w:rsidRDefault="00500AE2" w:rsidP="00500AE2">
      <w:pPr>
        <w:pStyle w:val="PargrafodaLista"/>
        <w:rPr>
          <w:rFonts w:asciiTheme="minorHAnsi" w:hAnsiTheme="minorHAnsi" w:cstheme="minorHAnsi"/>
          <w:sz w:val="16"/>
          <w:szCs w:val="16"/>
        </w:rPr>
      </w:pPr>
    </w:p>
    <w:p w14:paraId="56E4B184" w14:textId="3C7501FF" w:rsidR="00500AE2" w:rsidRPr="00A92A3E" w:rsidRDefault="00500AE2" w:rsidP="00F5523C">
      <w:pPr>
        <w:pStyle w:val="PargrafodaLista"/>
        <w:numPr>
          <w:ilvl w:val="0"/>
          <w:numId w:val="3"/>
        </w:numPr>
        <w:rPr>
          <w:rFonts w:asciiTheme="minorHAnsi" w:hAnsiTheme="minorHAnsi" w:cstheme="minorHAnsi"/>
          <w:sz w:val="16"/>
          <w:szCs w:val="16"/>
        </w:rPr>
      </w:pPr>
      <w:r w:rsidRPr="00A92A3E">
        <w:rPr>
          <w:rFonts w:asciiTheme="minorHAnsi" w:hAnsiTheme="minorHAnsi" w:cstheme="minorHAnsi"/>
          <w:sz w:val="16"/>
          <w:szCs w:val="16"/>
        </w:rPr>
        <w:t xml:space="preserve">Que a prestação dos serviços seja independente e individualizada, cuja adoção e implementação das orientações, recomendações e aconselhamentos sejam exclusivas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w:t>
      </w:r>
    </w:p>
    <w:p w14:paraId="1E7B05CC" w14:textId="77777777" w:rsidR="00500AE2" w:rsidRPr="00A92A3E" w:rsidRDefault="00500AE2" w:rsidP="00500AE2">
      <w:pPr>
        <w:pStyle w:val="PargrafodaLista"/>
        <w:rPr>
          <w:rFonts w:asciiTheme="minorHAnsi" w:hAnsiTheme="minorHAnsi" w:cstheme="minorHAnsi"/>
          <w:sz w:val="16"/>
          <w:szCs w:val="16"/>
        </w:rPr>
      </w:pPr>
    </w:p>
    <w:p w14:paraId="709A2BB6" w14:textId="77777777" w:rsidR="00500AE2" w:rsidRPr="00A92A3E" w:rsidRDefault="00500AE2" w:rsidP="00F5523C">
      <w:pPr>
        <w:pStyle w:val="PargrafodaLista"/>
        <w:numPr>
          <w:ilvl w:val="0"/>
          <w:numId w:val="3"/>
        </w:numPr>
        <w:rPr>
          <w:rFonts w:asciiTheme="minorHAnsi" w:hAnsiTheme="minorHAnsi" w:cstheme="minorHAnsi"/>
          <w:sz w:val="16"/>
          <w:szCs w:val="16"/>
        </w:rPr>
      </w:pPr>
      <w:r w:rsidRPr="00A92A3E">
        <w:rPr>
          <w:rFonts w:asciiTheme="minorHAnsi" w:hAnsiTheme="minorHAnsi" w:cstheme="minorHAnsi"/>
          <w:sz w:val="16"/>
          <w:szCs w:val="16"/>
        </w:rPr>
        <w:t>Que a prestação de serviços de orientação, recomendação e aconselhamento abranjam no mínimo os temas sobre: (i) classes de ativos e valores mobiliários, (ii) títulos e valores mobiliários específicos, (iii) Instituições Financeiras no âmbito do mercado de valores mobiliários e (iv) investimentos no mercado de valores mobiliários em todos os aspectos;</w:t>
      </w:r>
    </w:p>
    <w:p w14:paraId="658BE5B1" w14:textId="77777777" w:rsidR="00500AE2" w:rsidRPr="00A92A3E" w:rsidRDefault="00500AE2" w:rsidP="00500AE2">
      <w:pPr>
        <w:pStyle w:val="PargrafodaLista"/>
        <w:rPr>
          <w:rFonts w:asciiTheme="minorHAnsi" w:hAnsiTheme="minorHAnsi" w:cstheme="minorHAnsi"/>
          <w:sz w:val="16"/>
          <w:szCs w:val="16"/>
        </w:rPr>
      </w:pPr>
    </w:p>
    <w:p w14:paraId="42F7ABD0" w14:textId="77777777" w:rsidR="00500AE2" w:rsidRPr="00A92A3E" w:rsidRDefault="00500AE2" w:rsidP="00F5523C">
      <w:pPr>
        <w:pStyle w:val="PargrafodaLista"/>
        <w:numPr>
          <w:ilvl w:val="0"/>
          <w:numId w:val="3"/>
        </w:numPr>
        <w:rPr>
          <w:rFonts w:asciiTheme="minorHAnsi" w:hAnsiTheme="minorHAnsi" w:cstheme="minorHAnsi"/>
          <w:sz w:val="16"/>
          <w:szCs w:val="16"/>
        </w:rPr>
      </w:pPr>
      <w:r w:rsidRPr="00A92A3E">
        <w:rPr>
          <w:rFonts w:asciiTheme="minorHAnsi" w:hAnsiTheme="minorHAnsi" w:cstheme="minorHAnsi"/>
          <w:sz w:val="16"/>
          <w:szCs w:val="16"/>
        </w:rPr>
        <w:t>As informações disponibilizadas pelo consultor de valores mobiliários sejam verdadeiras, completas, consistentes e não induzir o investidor a erro, escritas em linguagem simples, clara, objetiva e concisa;</w:t>
      </w:r>
    </w:p>
    <w:p w14:paraId="328735B6" w14:textId="77777777" w:rsidR="00500AE2" w:rsidRPr="00A92A3E" w:rsidRDefault="00500AE2" w:rsidP="00500AE2">
      <w:pPr>
        <w:pStyle w:val="PargrafodaLista"/>
        <w:rPr>
          <w:rFonts w:asciiTheme="minorHAnsi" w:hAnsiTheme="minorHAnsi" w:cstheme="minorHAnsi"/>
          <w:sz w:val="16"/>
          <w:szCs w:val="16"/>
        </w:rPr>
      </w:pPr>
    </w:p>
    <w:p w14:paraId="08245738" w14:textId="77777777" w:rsidR="00500AE2" w:rsidRPr="00A92A3E" w:rsidRDefault="00500AE2" w:rsidP="00F5523C">
      <w:pPr>
        <w:pStyle w:val="PargrafodaLista"/>
        <w:numPr>
          <w:ilvl w:val="0"/>
          <w:numId w:val="3"/>
        </w:numPr>
        <w:rPr>
          <w:rFonts w:asciiTheme="minorHAnsi" w:hAnsiTheme="minorHAnsi" w:cstheme="minorHAnsi"/>
          <w:sz w:val="16"/>
          <w:szCs w:val="16"/>
        </w:rPr>
      </w:pPr>
      <w:r w:rsidRPr="00A92A3E">
        <w:rPr>
          <w:rFonts w:asciiTheme="minorHAnsi" w:hAnsiTheme="minorHAnsi" w:cstheme="minorHAnsi"/>
          <w:sz w:val="16"/>
          <w:szCs w:val="16"/>
        </w:rPr>
        <w:t>Que apresente em contrato social um Consultor de Valores Mobiliários como responsável pelas atividades da Consultoria de Valores Mobiliários;</w:t>
      </w:r>
    </w:p>
    <w:p w14:paraId="7532B97C" w14:textId="77777777" w:rsidR="00500AE2" w:rsidRPr="00A92A3E" w:rsidRDefault="00500AE2" w:rsidP="00500AE2">
      <w:pPr>
        <w:pStyle w:val="PargrafodaLista"/>
        <w:rPr>
          <w:rFonts w:asciiTheme="minorHAnsi" w:hAnsiTheme="minorHAnsi" w:cstheme="minorHAnsi"/>
          <w:sz w:val="16"/>
          <w:szCs w:val="16"/>
        </w:rPr>
      </w:pPr>
    </w:p>
    <w:p w14:paraId="3602C874" w14:textId="5584880A" w:rsidR="00500AE2" w:rsidRPr="00A92A3E" w:rsidRDefault="00500AE2" w:rsidP="00F5523C">
      <w:pPr>
        <w:pStyle w:val="PargrafodaLista"/>
        <w:numPr>
          <w:ilvl w:val="0"/>
          <w:numId w:val="3"/>
        </w:numPr>
        <w:rPr>
          <w:rFonts w:asciiTheme="minorHAnsi" w:hAnsiTheme="minorHAnsi" w:cstheme="minorHAnsi"/>
          <w:sz w:val="16"/>
          <w:szCs w:val="16"/>
        </w:rPr>
      </w:pPr>
      <w:r w:rsidRPr="00A92A3E">
        <w:rPr>
          <w:rFonts w:asciiTheme="minorHAnsi" w:hAnsiTheme="minorHAnsi" w:cstheme="minorHAnsi"/>
          <w:sz w:val="16"/>
          <w:szCs w:val="16"/>
        </w:rPr>
        <w:t>Que apresente em contrato social um Compliance Officer como responsável pela implementação e cumprimento de regras, procedimentos e controles internos das normas estabelecidas pela Resolução CVM nº 19/2021;</w:t>
      </w:r>
    </w:p>
    <w:p w14:paraId="23D0CE1A" w14:textId="77777777" w:rsidR="00500AE2" w:rsidRPr="00A92A3E" w:rsidRDefault="00500AE2" w:rsidP="00500AE2">
      <w:pPr>
        <w:pStyle w:val="PargrafodaLista"/>
        <w:rPr>
          <w:rFonts w:asciiTheme="minorHAnsi" w:hAnsiTheme="minorHAnsi" w:cstheme="minorHAnsi"/>
          <w:sz w:val="16"/>
          <w:szCs w:val="16"/>
        </w:rPr>
      </w:pPr>
    </w:p>
    <w:p w14:paraId="1C7F8B9F" w14:textId="758A972F" w:rsidR="00500AE2" w:rsidRPr="00A92A3E" w:rsidRDefault="00500AE2" w:rsidP="00F5523C">
      <w:pPr>
        <w:pStyle w:val="PargrafodaLista"/>
        <w:numPr>
          <w:ilvl w:val="0"/>
          <w:numId w:val="3"/>
        </w:numPr>
        <w:rPr>
          <w:rFonts w:asciiTheme="minorHAnsi" w:hAnsiTheme="minorHAnsi" w:cstheme="minorHAnsi"/>
          <w:sz w:val="16"/>
          <w:szCs w:val="16"/>
        </w:rPr>
      </w:pPr>
      <w:r w:rsidRPr="00A92A3E">
        <w:rPr>
          <w:rFonts w:asciiTheme="minorHAnsi" w:hAnsiTheme="minorHAnsi" w:cstheme="minorHAnsi"/>
          <w:sz w:val="16"/>
          <w:szCs w:val="16"/>
        </w:rPr>
        <w:t>Que mantenha página na rede mundial de computadores na forma de consulta pública, as seguintes informações atualizadas: (i) formulário de referência; (ii) código de ética, de modo a concretizar os deveres do consultor de valores mobiliários; (iii) a adoção de regras, procedimentos e descrição dos controles internos e (iv) a adoção de política de negociação de valores mobiliários por administradores, empregados, colaboradores e pela própria empresa</w:t>
      </w:r>
      <w:r w:rsidR="00024DC1" w:rsidRPr="00A92A3E">
        <w:rPr>
          <w:rFonts w:asciiTheme="minorHAnsi" w:hAnsiTheme="minorHAnsi" w:cstheme="minorHAnsi"/>
          <w:sz w:val="16"/>
          <w:szCs w:val="16"/>
        </w:rPr>
        <w:t>;</w:t>
      </w:r>
    </w:p>
    <w:p w14:paraId="641C13DF" w14:textId="77777777" w:rsidR="00500AE2" w:rsidRPr="00A92A3E" w:rsidRDefault="00500AE2" w:rsidP="00500AE2">
      <w:pPr>
        <w:pStyle w:val="PargrafodaLista"/>
        <w:rPr>
          <w:rFonts w:asciiTheme="minorHAnsi" w:hAnsiTheme="minorHAnsi" w:cstheme="minorHAnsi"/>
          <w:sz w:val="16"/>
          <w:szCs w:val="16"/>
        </w:rPr>
      </w:pPr>
    </w:p>
    <w:p w14:paraId="24334C4C" w14:textId="77777777" w:rsidR="00500AE2" w:rsidRPr="00A92A3E" w:rsidRDefault="00500AE2" w:rsidP="00F5523C">
      <w:pPr>
        <w:pStyle w:val="PargrafodaLista"/>
        <w:numPr>
          <w:ilvl w:val="0"/>
          <w:numId w:val="3"/>
        </w:numPr>
        <w:rPr>
          <w:rFonts w:asciiTheme="minorHAnsi" w:hAnsiTheme="minorHAnsi" w:cstheme="minorHAnsi"/>
          <w:sz w:val="16"/>
          <w:szCs w:val="16"/>
        </w:rPr>
      </w:pPr>
      <w:r w:rsidRPr="00A92A3E">
        <w:rPr>
          <w:rFonts w:asciiTheme="minorHAnsi" w:hAnsiTheme="minorHAnsi" w:cstheme="minorHAnsi"/>
          <w:sz w:val="16"/>
          <w:szCs w:val="16"/>
        </w:rPr>
        <w:t>Que apresentem em seu quadro de colaboradores no mínimo um Economista devidamente registrado no Conselho Regional de Economia – CORECON;</w:t>
      </w:r>
    </w:p>
    <w:p w14:paraId="5F02C3DE" w14:textId="77777777" w:rsidR="00500AE2" w:rsidRPr="00A92A3E" w:rsidRDefault="00500AE2" w:rsidP="00500AE2">
      <w:pPr>
        <w:pStyle w:val="PargrafodaLista"/>
        <w:rPr>
          <w:rFonts w:asciiTheme="minorHAnsi" w:hAnsiTheme="minorHAnsi" w:cstheme="minorHAnsi"/>
          <w:sz w:val="16"/>
          <w:szCs w:val="16"/>
        </w:rPr>
      </w:pPr>
    </w:p>
    <w:p w14:paraId="082107B3" w14:textId="5DDD237A" w:rsidR="00500AE2" w:rsidRPr="00A92A3E" w:rsidRDefault="00500AE2" w:rsidP="00F5523C">
      <w:pPr>
        <w:pStyle w:val="PargrafodaLista"/>
        <w:numPr>
          <w:ilvl w:val="0"/>
          <w:numId w:val="3"/>
        </w:numPr>
        <w:rPr>
          <w:rFonts w:asciiTheme="minorHAnsi" w:hAnsiTheme="minorHAnsi" w:cstheme="minorHAnsi"/>
          <w:sz w:val="16"/>
          <w:szCs w:val="16"/>
        </w:rPr>
      </w:pPr>
      <w:r w:rsidRPr="00A92A3E">
        <w:rPr>
          <w:rFonts w:asciiTheme="minorHAnsi" w:hAnsiTheme="minorHAnsi" w:cstheme="minorHAnsi"/>
          <w:sz w:val="16"/>
          <w:szCs w:val="16"/>
        </w:rPr>
        <w:t xml:space="preserve">Que os profissionais e consultores que atuam diretamente nas atividades de orientação, recomendação e aconselhamento comprovem experiência profissional </w:t>
      </w:r>
      <w:r w:rsidR="00024DC1" w:rsidRPr="00A92A3E">
        <w:rPr>
          <w:rFonts w:asciiTheme="minorHAnsi" w:hAnsiTheme="minorHAnsi" w:cstheme="minorHAnsi"/>
          <w:sz w:val="16"/>
          <w:szCs w:val="16"/>
        </w:rPr>
        <w:t>nas</w:t>
      </w:r>
      <w:r w:rsidRPr="00A92A3E">
        <w:rPr>
          <w:rFonts w:asciiTheme="minorHAnsi" w:hAnsiTheme="minorHAnsi" w:cstheme="minorHAnsi"/>
          <w:sz w:val="16"/>
          <w:szCs w:val="16"/>
        </w:rPr>
        <w:t xml:space="preserve"> atividades diretamente relacionadas à consultoria de valores mobiliários, gestão de recursos de terceiros ou análise de valores mobiliários;</w:t>
      </w:r>
    </w:p>
    <w:p w14:paraId="76310EA7" w14:textId="77777777" w:rsidR="00500AE2" w:rsidRPr="00A92A3E" w:rsidRDefault="00500AE2" w:rsidP="00500AE2">
      <w:pPr>
        <w:pStyle w:val="PargrafodaLista"/>
        <w:rPr>
          <w:rFonts w:asciiTheme="minorHAnsi" w:hAnsiTheme="minorHAnsi" w:cstheme="minorHAnsi"/>
          <w:sz w:val="16"/>
          <w:szCs w:val="16"/>
        </w:rPr>
      </w:pPr>
    </w:p>
    <w:p w14:paraId="530C1873" w14:textId="487860B4" w:rsidR="00500AE2" w:rsidRPr="00A92A3E" w:rsidRDefault="00500AE2" w:rsidP="00F5523C">
      <w:pPr>
        <w:pStyle w:val="PargrafodaLista"/>
        <w:numPr>
          <w:ilvl w:val="0"/>
          <w:numId w:val="3"/>
        </w:numPr>
        <w:rPr>
          <w:rFonts w:asciiTheme="minorHAnsi" w:hAnsiTheme="minorHAnsi" w:cstheme="minorHAnsi"/>
          <w:sz w:val="16"/>
          <w:szCs w:val="16"/>
        </w:rPr>
      </w:pPr>
      <w:r w:rsidRPr="00A92A3E">
        <w:rPr>
          <w:rFonts w:asciiTheme="minorHAnsi" w:hAnsiTheme="minorHAnsi" w:cstheme="minorHAnsi"/>
          <w:sz w:val="16"/>
          <w:szCs w:val="16"/>
        </w:rPr>
        <w:t xml:space="preserve">Que os profissionais e consultores que atuam diretamente nas atividades de orientação, recomendação e aconselhamento comprovem possuírem no mínimo as certificações CEA (Certificação </w:t>
      </w:r>
      <w:r w:rsidR="00024DC1" w:rsidRPr="00A92A3E">
        <w:rPr>
          <w:rFonts w:asciiTheme="minorHAnsi" w:hAnsiTheme="minorHAnsi" w:cstheme="minorHAnsi"/>
          <w:sz w:val="16"/>
          <w:szCs w:val="16"/>
        </w:rPr>
        <w:t>ANBIMA</w:t>
      </w:r>
      <w:r w:rsidRPr="00A92A3E">
        <w:rPr>
          <w:rFonts w:asciiTheme="minorHAnsi" w:hAnsiTheme="minorHAnsi" w:cstheme="minorHAnsi"/>
          <w:sz w:val="16"/>
          <w:szCs w:val="16"/>
        </w:rPr>
        <w:t xml:space="preserve"> de Especialistas em Investimento)</w:t>
      </w:r>
      <w:r w:rsidR="00024DC1"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CGA (Certificação de Gestores </w:t>
      </w:r>
      <w:r w:rsidR="00024DC1" w:rsidRPr="00A92A3E">
        <w:rPr>
          <w:rFonts w:asciiTheme="minorHAnsi" w:hAnsiTheme="minorHAnsi" w:cstheme="minorHAnsi"/>
          <w:sz w:val="16"/>
          <w:szCs w:val="16"/>
        </w:rPr>
        <w:t>ANBIMA</w:t>
      </w:r>
      <w:r w:rsidRPr="00A92A3E">
        <w:rPr>
          <w:rFonts w:asciiTheme="minorHAnsi" w:hAnsiTheme="minorHAnsi" w:cstheme="minorHAnsi"/>
          <w:sz w:val="16"/>
          <w:szCs w:val="16"/>
        </w:rPr>
        <w:t>) e</w:t>
      </w:r>
      <w:r w:rsidR="00024DC1" w:rsidRPr="00A92A3E">
        <w:rPr>
          <w:rFonts w:asciiTheme="minorHAnsi" w:hAnsiTheme="minorHAnsi" w:cstheme="minorHAnsi"/>
          <w:sz w:val="16"/>
          <w:szCs w:val="16"/>
        </w:rPr>
        <w:t xml:space="preserve"> </w:t>
      </w:r>
      <w:r w:rsidRPr="00A92A3E">
        <w:rPr>
          <w:rFonts w:asciiTheme="minorHAnsi" w:hAnsiTheme="minorHAnsi" w:cstheme="minorHAnsi"/>
          <w:sz w:val="16"/>
          <w:szCs w:val="16"/>
        </w:rPr>
        <w:t>registro de Consultor de Valores Mobiliários pessoa física</w:t>
      </w:r>
      <w:r w:rsidR="00067B4E" w:rsidRPr="00A92A3E">
        <w:rPr>
          <w:rFonts w:asciiTheme="minorHAnsi" w:hAnsiTheme="minorHAnsi" w:cstheme="minorHAnsi"/>
          <w:sz w:val="16"/>
          <w:szCs w:val="16"/>
        </w:rPr>
        <w:t xml:space="preserve"> (a comprovação das Certificações não são cumulativas</w:t>
      </w:r>
      <w:r w:rsidR="00024DC1" w:rsidRPr="00A92A3E">
        <w:rPr>
          <w:rFonts w:asciiTheme="minorHAnsi" w:hAnsiTheme="minorHAnsi" w:cstheme="minorHAnsi"/>
          <w:sz w:val="16"/>
          <w:szCs w:val="16"/>
        </w:rPr>
        <w:t xml:space="preserve"> por profissional</w:t>
      </w:r>
      <w:r w:rsidR="00067B4E" w:rsidRPr="00A92A3E">
        <w:rPr>
          <w:rFonts w:asciiTheme="minorHAnsi" w:hAnsiTheme="minorHAnsi" w:cstheme="minorHAnsi"/>
          <w:sz w:val="16"/>
          <w:szCs w:val="16"/>
        </w:rPr>
        <w:t>)</w:t>
      </w:r>
      <w:r w:rsidRPr="00A92A3E">
        <w:rPr>
          <w:rFonts w:asciiTheme="minorHAnsi" w:hAnsiTheme="minorHAnsi" w:cstheme="minorHAnsi"/>
          <w:sz w:val="16"/>
          <w:szCs w:val="16"/>
        </w:rPr>
        <w:t>.</w:t>
      </w:r>
    </w:p>
    <w:p w14:paraId="1212D051"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Não serão considerados aptos os prestadores de serviços que atuem exclusivamente com as atividades:</w:t>
      </w:r>
    </w:p>
    <w:p w14:paraId="76CE7369" w14:textId="77777777" w:rsidR="00500AE2" w:rsidRPr="00A92A3E" w:rsidRDefault="00500AE2" w:rsidP="00F5523C">
      <w:pPr>
        <w:pStyle w:val="PargrafodaLista"/>
        <w:numPr>
          <w:ilvl w:val="0"/>
          <w:numId w:val="4"/>
        </w:numPr>
        <w:rPr>
          <w:rFonts w:asciiTheme="minorHAnsi" w:hAnsiTheme="minorHAnsi" w:cstheme="minorHAnsi"/>
          <w:sz w:val="16"/>
          <w:szCs w:val="16"/>
        </w:rPr>
      </w:pPr>
      <w:r w:rsidRPr="00A92A3E">
        <w:rPr>
          <w:rFonts w:asciiTheme="minorHAnsi" w:hAnsiTheme="minorHAnsi" w:cstheme="minorHAnsi"/>
          <w:sz w:val="16"/>
          <w:szCs w:val="16"/>
        </w:rPr>
        <w:t>Como planejadores financeiros, cuja atuação circunscreva-se, dentre outros serviços, ao planejamento sucessório, produtos de previdência e administração de finanças em geral de seus clientes e que não envolvam a orientação, recomendação ou aconselhamento;</w:t>
      </w:r>
    </w:p>
    <w:p w14:paraId="692E87FD" w14:textId="77777777" w:rsidR="00500AE2" w:rsidRPr="00A92A3E" w:rsidRDefault="00500AE2" w:rsidP="00500AE2">
      <w:pPr>
        <w:pStyle w:val="PargrafodaLista"/>
        <w:rPr>
          <w:rFonts w:asciiTheme="minorHAnsi" w:hAnsiTheme="minorHAnsi" w:cstheme="minorHAnsi"/>
          <w:sz w:val="16"/>
          <w:szCs w:val="16"/>
        </w:rPr>
      </w:pPr>
    </w:p>
    <w:p w14:paraId="3923F710" w14:textId="77777777" w:rsidR="00500AE2" w:rsidRPr="00A92A3E" w:rsidRDefault="00500AE2" w:rsidP="00F5523C">
      <w:pPr>
        <w:pStyle w:val="PargrafodaLista"/>
        <w:numPr>
          <w:ilvl w:val="0"/>
          <w:numId w:val="4"/>
        </w:numPr>
        <w:rPr>
          <w:rFonts w:asciiTheme="minorHAnsi" w:hAnsiTheme="minorHAnsi" w:cstheme="minorHAnsi"/>
          <w:sz w:val="16"/>
          <w:szCs w:val="16"/>
        </w:rPr>
      </w:pPr>
      <w:r w:rsidRPr="00A92A3E">
        <w:rPr>
          <w:rFonts w:asciiTheme="minorHAnsi" w:hAnsiTheme="minorHAnsi" w:cstheme="minorHAnsi"/>
          <w:sz w:val="16"/>
          <w:szCs w:val="16"/>
        </w:rPr>
        <w:t>Que promovam a elaboração de relatórios gerenciais ou de controle que objetivem, dentre outros, retratar a rentabilidade, composição e enquadramento de uma carteira de investimento à luz de políticas de investimento, regulamentos ou da regulamentação específica incidente sobre determinado tipo de cliente;</w:t>
      </w:r>
    </w:p>
    <w:p w14:paraId="33C9E7D8" w14:textId="77777777" w:rsidR="00500AE2" w:rsidRPr="00A92A3E" w:rsidRDefault="00500AE2" w:rsidP="00500AE2">
      <w:pPr>
        <w:pStyle w:val="PargrafodaLista"/>
        <w:rPr>
          <w:rFonts w:asciiTheme="minorHAnsi" w:hAnsiTheme="minorHAnsi" w:cstheme="minorHAnsi"/>
          <w:sz w:val="16"/>
          <w:szCs w:val="16"/>
        </w:rPr>
      </w:pPr>
    </w:p>
    <w:p w14:paraId="63D02ACC" w14:textId="77777777" w:rsidR="00500AE2" w:rsidRPr="00A92A3E" w:rsidRDefault="00500AE2" w:rsidP="00F5523C">
      <w:pPr>
        <w:pStyle w:val="PargrafodaLista"/>
        <w:numPr>
          <w:ilvl w:val="0"/>
          <w:numId w:val="4"/>
        </w:numPr>
        <w:rPr>
          <w:rFonts w:asciiTheme="minorHAnsi" w:hAnsiTheme="minorHAnsi" w:cstheme="minorHAnsi"/>
          <w:sz w:val="16"/>
          <w:szCs w:val="16"/>
        </w:rPr>
      </w:pPr>
      <w:r w:rsidRPr="00A92A3E">
        <w:rPr>
          <w:rFonts w:asciiTheme="minorHAnsi" w:hAnsiTheme="minorHAnsi" w:cstheme="minorHAnsi"/>
          <w:sz w:val="16"/>
          <w:szCs w:val="16"/>
        </w:rPr>
        <w:t>Como consultores especializados que não atuem nos mercados de valores mobiliários, tais como aqueles previstos nas regulamentações específicas sobre fundos de investimento em direitos creditórios e fundos de investimento imobiliário e</w:t>
      </w:r>
    </w:p>
    <w:p w14:paraId="4406D270" w14:textId="77777777" w:rsidR="00500AE2" w:rsidRPr="00A92A3E" w:rsidRDefault="00500AE2" w:rsidP="00500AE2">
      <w:pPr>
        <w:pStyle w:val="PargrafodaLista"/>
        <w:rPr>
          <w:rFonts w:asciiTheme="minorHAnsi" w:hAnsiTheme="minorHAnsi" w:cstheme="minorHAnsi"/>
          <w:sz w:val="16"/>
          <w:szCs w:val="16"/>
        </w:rPr>
      </w:pPr>
    </w:p>
    <w:p w14:paraId="54C3F5F7" w14:textId="77777777" w:rsidR="00500AE2" w:rsidRPr="00A92A3E" w:rsidRDefault="00500AE2" w:rsidP="00F5523C">
      <w:pPr>
        <w:pStyle w:val="PargrafodaLista"/>
        <w:numPr>
          <w:ilvl w:val="0"/>
          <w:numId w:val="4"/>
        </w:numPr>
        <w:rPr>
          <w:rFonts w:asciiTheme="minorHAnsi" w:hAnsiTheme="minorHAnsi" w:cstheme="minorHAnsi"/>
          <w:sz w:val="16"/>
          <w:szCs w:val="16"/>
        </w:rPr>
      </w:pPr>
      <w:r w:rsidRPr="00A92A3E">
        <w:rPr>
          <w:rFonts w:asciiTheme="minorHAnsi" w:hAnsiTheme="minorHAnsi" w:cstheme="minorHAnsi"/>
          <w:sz w:val="16"/>
          <w:szCs w:val="16"/>
        </w:rPr>
        <w:t>Consultores de Valores Mobiliários que atuam diretamente na estruturação, originação, gestão, administração e distribuição de produtos de investimentos que sejam objeto de orientação, recomendação e aconselhamento aos seus clientes.</w:t>
      </w:r>
    </w:p>
    <w:p w14:paraId="7CBFF86B" w14:textId="28959F48"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Será admitido que o Consultor de Valores Mobiliários contratado e as entidades integrantes do sistema de distribuição de valores mobiliários e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em comum acordo, estabeleçam canais de comunicação </w:t>
      </w:r>
      <w:r w:rsidRPr="00A92A3E">
        <w:rPr>
          <w:rFonts w:asciiTheme="minorHAnsi" w:hAnsiTheme="minorHAnsi" w:cstheme="minorHAnsi"/>
          <w:sz w:val="16"/>
          <w:szCs w:val="16"/>
        </w:rPr>
        <w:lastRenderedPageBreak/>
        <w:t>e ferramentas que permitam conferir maior agilidade e segurança à implementação das orientações, recomendações e aconselhamentos na execução de ordens.</w:t>
      </w:r>
    </w:p>
    <w:p w14:paraId="6BAA0C17" w14:textId="6537CB97" w:rsidR="00500AE2" w:rsidRDefault="00500AE2" w:rsidP="00500AE2">
      <w:pPr>
        <w:rPr>
          <w:rFonts w:asciiTheme="minorHAnsi" w:hAnsiTheme="minorHAnsi" w:cstheme="minorHAnsi"/>
          <w:b/>
          <w:color w:val="FF0000"/>
          <w:sz w:val="16"/>
          <w:szCs w:val="16"/>
        </w:rPr>
      </w:pPr>
      <w:r w:rsidRPr="00A92A3E">
        <w:rPr>
          <w:rFonts w:asciiTheme="minorHAnsi" w:hAnsiTheme="minorHAnsi" w:cstheme="minorHAnsi"/>
          <w:sz w:val="16"/>
          <w:szCs w:val="16"/>
        </w:rPr>
        <w:t xml:space="preserve">Não serão aceitas ferramentas fornecidas ou disponibilizadas pelos integrantes do sistema de distribuição de valores mobiliários, mesmo que de forma gratuita, não gerando assim Conflito de Interesse ou a indução a erros por parte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
          <w:color w:val="FF0000"/>
          <w:sz w:val="16"/>
          <w:szCs w:val="16"/>
        </w:rPr>
        <w:t>.</w:t>
      </w:r>
    </w:p>
    <w:p w14:paraId="79F4C237" w14:textId="77777777" w:rsidR="00500AE2" w:rsidRPr="00A92A3E" w:rsidRDefault="00500AE2" w:rsidP="00C8521E">
      <w:pPr>
        <w:pStyle w:val="Ttulo1"/>
        <w:rPr>
          <w:rFonts w:asciiTheme="minorHAnsi" w:hAnsiTheme="minorHAnsi" w:cstheme="minorHAnsi"/>
          <w:sz w:val="16"/>
          <w:szCs w:val="16"/>
        </w:rPr>
      </w:pPr>
      <w:bookmarkStart w:id="22" w:name="_Toc496794775"/>
      <w:bookmarkStart w:id="23" w:name="_Toc435202746"/>
      <w:bookmarkStart w:id="24" w:name="_Toc490036552"/>
      <w:bookmarkStart w:id="25" w:name="_Toc118105136"/>
      <w:bookmarkStart w:id="26" w:name="_Toc150330290"/>
      <w:bookmarkEnd w:id="14"/>
      <w:bookmarkEnd w:id="15"/>
      <w:bookmarkEnd w:id="22"/>
      <w:r w:rsidRPr="00A92A3E">
        <w:rPr>
          <w:rFonts w:asciiTheme="minorHAnsi" w:hAnsiTheme="minorHAnsi" w:cstheme="minorHAnsi"/>
          <w:sz w:val="16"/>
          <w:szCs w:val="16"/>
        </w:rPr>
        <w:t>META DE RENTABILIDADE</w:t>
      </w:r>
      <w:bookmarkEnd w:id="23"/>
      <w:bookmarkEnd w:id="24"/>
      <w:bookmarkEnd w:id="25"/>
      <w:bookmarkEnd w:id="26"/>
    </w:p>
    <w:p w14:paraId="3DCBB0EA" w14:textId="1F05E550"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A Portaria </w:t>
      </w:r>
      <w:r w:rsidR="0001490F" w:rsidRPr="00A92A3E">
        <w:rPr>
          <w:rFonts w:asciiTheme="minorHAnsi" w:hAnsiTheme="minorHAnsi" w:cstheme="minorHAnsi"/>
          <w:bCs/>
          <w:sz w:val="16"/>
          <w:szCs w:val="16"/>
        </w:rPr>
        <w:t xml:space="preserve">MTP </w:t>
      </w:r>
      <w:r w:rsidRPr="00A92A3E">
        <w:rPr>
          <w:rFonts w:asciiTheme="minorHAnsi" w:hAnsiTheme="minorHAnsi" w:cstheme="minorHAnsi"/>
          <w:bCs/>
          <w:sz w:val="16"/>
          <w:szCs w:val="16"/>
        </w:rPr>
        <w:t>nº 1.467/2022, que estabelece as normas aplicáveis às avaliações atuariais dos Regimes Próprio de Previdência Social, determina que a taxa atuarial de juros a ser utilizada nas Avaliações Atuariais se</w:t>
      </w:r>
      <w:r w:rsidR="00024DC1" w:rsidRPr="00A92A3E">
        <w:rPr>
          <w:rFonts w:asciiTheme="minorHAnsi" w:hAnsiTheme="minorHAnsi" w:cstheme="minorHAnsi"/>
          <w:bCs/>
          <w:sz w:val="16"/>
          <w:szCs w:val="16"/>
        </w:rPr>
        <w:t>ja</w:t>
      </w:r>
      <w:r w:rsidRPr="00A92A3E">
        <w:rPr>
          <w:rFonts w:asciiTheme="minorHAnsi" w:hAnsiTheme="minorHAnsi" w:cstheme="minorHAnsi"/>
          <w:bCs/>
          <w:sz w:val="16"/>
          <w:szCs w:val="16"/>
        </w:rPr>
        <w:t xml:space="preserve"> equivalente à taxa de juros parâmetro cujo ponto da Estrutura a Termo de Taxa de Juros Média - ETTJ </w:t>
      </w:r>
      <w:r w:rsidR="00024DC1" w:rsidRPr="00A92A3E">
        <w:rPr>
          <w:rFonts w:asciiTheme="minorHAnsi" w:hAnsiTheme="minorHAnsi" w:cstheme="minorHAnsi"/>
          <w:bCs/>
          <w:sz w:val="16"/>
          <w:szCs w:val="16"/>
        </w:rPr>
        <w:t>esteja</w:t>
      </w:r>
      <w:r w:rsidRPr="00A92A3E">
        <w:rPr>
          <w:rFonts w:asciiTheme="minorHAnsi" w:hAnsiTheme="minorHAnsi" w:cstheme="minorHAnsi"/>
          <w:bCs/>
          <w:sz w:val="16"/>
          <w:szCs w:val="16"/>
        </w:rPr>
        <w:t xml:space="preserve"> o mais próxim</w:t>
      </w:r>
      <w:r w:rsidR="00024DC1" w:rsidRPr="00A92A3E">
        <w:rPr>
          <w:rFonts w:asciiTheme="minorHAnsi" w:hAnsiTheme="minorHAnsi" w:cstheme="minorHAnsi"/>
          <w:bCs/>
          <w:sz w:val="16"/>
          <w:szCs w:val="16"/>
        </w:rPr>
        <w:t>o</w:t>
      </w:r>
      <w:r w:rsidRPr="00A92A3E">
        <w:rPr>
          <w:rFonts w:asciiTheme="minorHAnsi" w:hAnsiTheme="minorHAnsi" w:cstheme="minorHAnsi"/>
          <w:bCs/>
          <w:sz w:val="16"/>
          <w:szCs w:val="16"/>
        </w:rPr>
        <w:t xml:space="preserve"> à duração do passivo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w:t>
      </w:r>
    </w:p>
    <w:p w14:paraId="4A4EE171" w14:textId="74A6C274"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A taxa </w:t>
      </w:r>
      <w:r w:rsidR="00FF0E89" w:rsidRPr="00A92A3E">
        <w:rPr>
          <w:rFonts w:asciiTheme="minorHAnsi" w:hAnsiTheme="minorHAnsi" w:cstheme="minorHAnsi"/>
          <w:bCs/>
          <w:sz w:val="16"/>
          <w:szCs w:val="16"/>
        </w:rPr>
        <w:t>atuarial de juros</w:t>
      </w:r>
      <w:r w:rsidRPr="00A92A3E">
        <w:rPr>
          <w:rFonts w:asciiTheme="minorHAnsi" w:hAnsiTheme="minorHAnsi" w:cstheme="minorHAnsi"/>
          <w:bCs/>
          <w:sz w:val="16"/>
          <w:szCs w:val="16"/>
        </w:rPr>
        <w:t>, também conhecida como meta atuarial, é utilizada no cálculo das avaliações atuarias para trazer o valor presente de todos os compromissos do plano de benefícios na linha do tempo e que determina assim o quanto d</w:t>
      </w:r>
      <w:r w:rsidR="00113F32" w:rsidRPr="00A92A3E">
        <w:rPr>
          <w:rFonts w:asciiTheme="minorHAnsi" w:hAnsiTheme="minorHAnsi" w:cstheme="minorHAnsi"/>
          <w:bCs/>
          <w:sz w:val="16"/>
          <w:szCs w:val="16"/>
        </w:rPr>
        <w:t>o</w:t>
      </w:r>
      <w:r w:rsidRPr="00A92A3E">
        <w:rPr>
          <w:rFonts w:asciiTheme="minorHAnsi" w:hAnsiTheme="minorHAnsi" w:cstheme="minorHAnsi"/>
          <w:bCs/>
          <w:sz w:val="16"/>
          <w:szCs w:val="16"/>
        </w:rPr>
        <w:t xml:space="preserve"> patrimônio o Regime Próprio de Previdência Social </w:t>
      </w:r>
      <w:r w:rsidR="00D61C7B" w:rsidRPr="00A92A3E">
        <w:rPr>
          <w:rFonts w:asciiTheme="minorHAnsi" w:hAnsiTheme="minorHAnsi" w:cstheme="minorHAnsi"/>
          <w:bCs/>
          <w:sz w:val="16"/>
          <w:szCs w:val="16"/>
        </w:rPr>
        <w:t xml:space="preserve">– RPPS </w:t>
      </w:r>
      <w:r w:rsidRPr="00A92A3E">
        <w:rPr>
          <w:rFonts w:asciiTheme="minorHAnsi" w:hAnsiTheme="minorHAnsi" w:cstheme="minorHAnsi"/>
          <w:bCs/>
          <w:sz w:val="16"/>
          <w:szCs w:val="16"/>
        </w:rPr>
        <w:t>deverá possuir para manter o equilíbrio atuarial.</w:t>
      </w:r>
    </w:p>
    <w:p w14:paraId="4F2B7D1F" w14:textId="684031F8"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Esse equilíbrio somente será possível de se obter caso os recursos sejam remunerados, no mínimo, por uma taxa igual ou superior. Do contrário, se a taxa que remunera os recursos passe a ser inferior a taxa utilizada no cálculo atuarial, o plano de benefício se tornará </w:t>
      </w:r>
      <w:r w:rsidR="00024DC1" w:rsidRPr="00A92A3E">
        <w:rPr>
          <w:rFonts w:asciiTheme="minorHAnsi" w:hAnsiTheme="minorHAnsi" w:cstheme="minorHAnsi"/>
          <w:bCs/>
          <w:sz w:val="16"/>
          <w:szCs w:val="16"/>
        </w:rPr>
        <w:t>deficitário</w:t>
      </w:r>
      <w:r w:rsidRPr="00A92A3E">
        <w:rPr>
          <w:rFonts w:asciiTheme="minorHAnsi" w:hAnsiTheme="minorHAnsi" w:cstheme="minorHAnsi"/>
          <w:bCs/>
          <w:sz w:val="16"/>
          <w:szCs w:val="16"/>
        </w:rPr>
        <w:t>, comprometendo o pagamento futuro dos benefícios.</w:t>
      </w:r>
    </w:p>
    <w:p w14:paraId="41C8BAC4" w14:textId="4D86BDE6" w:rsidR="006F04AF" w:rsidRPr="00C95326" w:rsidRDefault="00500AE2" w:rsidP="00500AE2">
      <w:pPr>
        <w:rPr>
          <w:rFonts w:asciiTheme="minorHAnsi" w:hAnsiTheme="minorHAnsi" w:cstheme="minorHAnsi"/>
          <w:bCs/>
          <w:color w:val="000000" w:themeColor="text1"/>
          <w:sz w:val="16"/>
          <w:szCs w:val="16"/>
        </w:rPr>
      </w:pPr>
      <w:r w:rsidRPr="00A92A3E">
        <w:rPr>
          <w:rFonts w:asciiTheme="minorHAnsi" w:hAnsiTheme="minorHAnsi" w:cstheme="minorHAnsi"/>
          <w:bCs/>
          <w:sz w:val="16"/>
          <w:szCs w:val="16"/>
        </w:rPr>
        <w:t xml:space="preserve">Considerando a exposição da carteira e seus investimentos, as projeções dos indicadores de desempenho dos retornos sobre esses mesmos investimentos, o valor esperado da rentabilidade futura dos investimentos dos ativos garantidores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xml:space="preserve">, </w:t>
      </w:r>
      <w:r w:rsidR="009E67C7" w:rsidRPr="00A92A3E">
        <w:rPr>
          <w:rFonts w:asciiTheme="minorHAnsi" w:hAnsiTheme="minorHAnsi" w:cstheme="minorHAnsi"/>
          <w:bCs/>
          <w:sz w:val="16"/>
          <w:szCs w:val="16"/>
        </w:rPr>
        <w:t>definida</w:t>
      </w:r>
      <w:r w:rsidRPr="00A92A3E">
        <w:rPr>
          <w:rFonts w:asciiTheme="minorHAnsi" w:hAnsiTheme="minorHAnsi" w:cstheme="minorHAnsi"/>
          <w:bCs/>
          <w:sz w:val="16"/>
          <w:szCs w:val="16"/>
        </w:rPr>
        <w:t xml:space="preserve"> como </w:t>
      </w:r>
      <w:r w:rsidRPr="009B287F">
        <w:rPr>
          <w:rFonts w:asciiTheme="minorHAnsi" w:hAnsiTheme="minorHAnsi" w:cstheme="minorHAnsi"/>
          <w:b/>
          <w:sz w:val="16"/>
          <w:szCs w:val="16"/>
        </w:rPr>
        <w:t>META DE RENTABILIDADE é de</w:t>
      </w:r>
      <w:r w:rsidRPr="00A92A3E">
        <w:rPr>
          <w:rFonts w:asciiTheme="minorHAnsi" w:hAnsiTheme="minorHAnsi" w:cstheme="minorHAnsi"/>
          <w:bCs/>
          <w:color w:val="70AD47" w:themeColor="accent6"/>
          <w:sz w:val="16"/>
          <w:szCs w:val="16"/>
        </w:rPr>
        <w:t xml:space="preserve"> </w:t>
      </w:r>
      <w:r w:rsidRPr="00C95326">
        <w:rPr>
          <w:rFonts w:asciiTheme="minorHAnsi" w:hAnsiTheme="minorHAnsi" w:cstheme="minorHAnsi"/>
          <w:b/>
          <w:color w:val="000000" w:themeColor="text1"/>
          <w:sz w:val="16"/>
          <w:szCs w:val="16"/>
        </w:rPr>
        <w:t>I</w:t>
      </w:r>
      <w:r w:rsidRPr="00184B6A">
        <w:rPr>
          <w:rFonts w:asciiTheme="minorHAnsi" w:hAnsiTheme="minorHAnsi" w:cstheme="minorHAnsi"/>
          <w:b/>
          <w:color w:val="000000" w:themeColor="text1"/>
          <w:sz w:val="16"/>
          <w:szCs w:val="16"/>
        </w:rPr>
        <w:t>PCA +</w:t>
      </w:r>
      <w:r w:rsidR="00184B6A" w:rsidRPr="00184B6A">
        <w:rPr>
          <w:rFonts w:asciiTheme="minorHAnsi" w:hAnsiTheme="minorHAnsi" w:cstheme="minorHAnsi"/>
          <w:b/>
          <w:color w:val="000000" w:themeColor="text1"/>
          <w:sz w:val="16"/>
          <w:szCs w:val="16"/>
        </w:rPr>
        <w:t xml:space="preserve"> 5,</w:t>
      </w:r>
      <w:r w:rsidR="008203ED">
        <w:rPr>
          <w:rFonts w:asciiTheme="minorHAnsi" w:hAnsiTheme="minorHAnsi" w:cstheme="minorHAnsi"/>
          <w:b/>
          <w:color w:val="000000" w:themeColor="text1"/>
          <w:sz w:val="16"/>
          <w:szCs w:val="16"/>
        </w:rPr>
        <w:t>15</w:t>
      </w:r>
      <w:r w:rsidRPr="00184B6A">
        <w:rPr>
          <w:rFonts w:asciiTheme="minorHAnsi" w:hAnsiTheme="minorHAnsi" w:cstheme="minorHAnsi"/>
          <w:b/>
          <w:bCs/>
          <w:color w:val="000000" w:themeColor="text1"/>
          <w:sz w:val="16"/>
          <w:szCs w:val="16"/>
        </w:rPr>
        <w:t>% (</w:t>
      </w:r>
      <w:r w:rsidR="00184B6A" w:rsidRPr="00184B6A">
        <w:rPr>
          <w:rFonts w:asciiTheme="minorHAnsi" w:hAnsiTheme="minorHAnsi" w:cstheme="minorHAnsi"/>
          <w:b/>
          <w:bCs/>
          <w:color w:val="000000" w:themeColor="text1"/>
          <w:sz w:val="16"/>
          <w:szCs w:val="16"/>
        </w:rPr>
        <w:t>cinco</w:t>
      </w:r>
      <w:r w:rsidR="008203ED">
        <w:rPr>
          <w:rFonts w:asciiTheme="minorHAnsi" w:hAnsiTheme="minorHAnsi" w:cstheme="minorHAnsi"/>
          <w:b/>
          <w:bCs/>
          <w:color w:val="000000" w:themeColor="text1"/>
          <w:sz w:val="16"/>
          <w:szCs w:val="16"/>
        </w:rPr>
        <w:t xml:space="preserve"> vírgula quinze</w:t>
      </w:r>
      <w:r w:rsidRPr="00184B6A">
        <w:rPr>
          <w:rFonts w:asciiTheme="minorHAnsi" w:hAnsiTheme="minorHAnsi" w:cstheme="minorHAnsi"/>
          <w:b/>
          <w:bCs/>
          <w:color w:val="000000" w:themeColor="text1"/>
          <w:sz w:val="16"/>
          <w:szCs w:val="16"/>
        </w:rPr>
        <w:t xml:space="preserve"> por cento)</w:t>
      </w:r>
      <w:r w:rsidRPr="00184B6A">
        <w:rPr>
          <w:rFonts w:asciiTheme="minorHAnsi" w:hAnsiTheme="minorHAnsi" w:cstheme="minorHAnsi"/>
          <w:bCs/>
          <w:color w:val="000000" w:themeColor="text1"/>
          <w:sz w:val="16"/>
          <w:szCs w:val="16"/>
        </w:rPr>
        <w:t>.</w:t>
      </w:r>
      <w:r w:rsidR="00AC74FA">
        <w:rPr>
          <w:rFonts w:asciiTheme="minorHAnsi" w:hAnsiTheme="minorHAnsi" w:cstheme="minorHAnsi"/>
          <w:bCs/>
          <w:color w:val="000000" w:themeColor="text1"/>
          <w:sz w:val="16"/>
          <w:szCs w:val="16"/>
        </w:rPr>
        <w:t xml:space="preserve"> </w:t>
      </w:r>
      <w:r w:rsidR="00184B6A">
        <w:rPr>
          <w:rFonts w:asciiTheme="minorHAnsi" w:hAnsiTheme="minorHAnsi" w:cstheme="minorHAnsi"/>
          <w:bCs/>
          <w:color w:val="000000" w:themeColor="text1"/>
          <w:sz w:val="16"/>
          <w:szCs w:val="16"/>
        </w:rPr>
        <w:t xml:space="preserve">A meta </w:t>
      </w:r>
      <w:r w:rsidR="00CB1F6B">
        <w:rPr>
          <w:rFonts w:asciiTheme="minorHAnsi" w:hAnsiTheme="minorHAnsi" w:cstheme="minorHAnsi"/>
          <w:bCs/>
          <w:color w:val="000000" w:themeColor="text1"/>
          <w:sz w:val="16"/>
          <w:szCs w:val="16"/>
        </w:rPr>
        <w:t xml:space="preserve">aqui </w:t>
      </w:r>
      <w:r w:rsidR="00184B6A">
        <w:rPr>
          <w:rFonts w:asciiTheme="minorHAnsi" w:hAnsiTheme="minorHAnsi" w:cstheme="minorHAnsi"/>
          <w:bCs/>
          <w:color w:val="000000" w:themeColor="text1"/>
          <w:sz w:val="16"/>
          <w:szCs w:val="16"/>
        </w:rPr>
        <w:t>estabelecida teve por base o Cálculo Atuarial 2023 (base 31/12/2022), que</w:t>
      </w:r>
      <w:r w:rsidR="008F1CEA">
        <w:rPr>
          <w:rFonts w:asciiTheme="minorHAnsi" w:hAnsiTheme="minorHAnsi" w:cstheme="minorHAnsi"/>
          <w:bCs/>
          <w:color w:val="000000" w:themeColor="text1"/>
          <w:sz w:val="16"/>
          <w:szCs w:val="16"/>
        </w:rPr>
        <w:t xml:space="preserve"> apontou uma Duration</w:t>
      </w:r>
      <w:r w:rsidR="00CB1F6B">
        <w:rPr>
          <w:rFonts w:asciiTheme="minorHAnsi" w:hAnsiTheme="minorHAnsi" w:cstheme="minorHAnsi"/>
          <w:bCs/>
          <w:color w:val="000000" w:themeColor="text1"/>
          <w:sz w:val="16"/>
          <w:szCs w:val="16"/>
        </w:rPr>
        <w:t xml:space="preserve"> de</w:t>
      </w:r>
      <w:r w:rsidR="008F1CEA">
        <w:rPr>
          <w:rFonts w:asciiTheme="minorHAnsi" w:hAnsiTheme="minorHAnsi" w:cstheme="minorHAnsi"/>
          <w:bCs/>
          <w:color w:val="000000" w:themeColor="text1"/>
          <w:sz w:val="16"/>
          <w:szCs w:val="16"/>
        </w:rPr>
        <w:t xml:space="preserve"> 26,81</w:t>
      </w:r>
      <w:r w:rsidR="00CB1F6B">
        <w:rPr>
          <w:rFonts w:asciiTheme="minorHAnsi" w:hAnsiTheme="minorHAnsi" w:cstheme="minorHAnsi"/>
          <w:bCs/>
          <w:color w:val="000000" w:themeColor="text1"/>
          <w:sz w:val="16"/>
          <w:szCs w:val="16"/>
        </w:rPr>
        <w:t xml:space="preserve"> anos, aplicando-se a Portaria MPS nº 3.289, de 23/08/2023</w:t>
      </w:r>
      <w:r w:rsidR="008203ED">
        <w:rPr>
          <w:rFonts w:asciiTheme="minorHAnsi" w:hAnsiTheme="minorHAnsi" w:cstheme="minorHAnsi"/>
          <w:bCs/>
          <w:color w:val="000000" w:themeColor="text1"/>
          <w:sz w:val="16"/>
          <w:szCs w:val="16"/>
        </w:rPr>
        <w:t>, na coluna 2024</w:t>
      </w:r>
      <w:r w:rsidR="00CB1F6B">
        <w:rPr>
          <w:rFonts w:asciiTheme="minorHAnsi" w:hAnsiTheme="minorHAnsi" w:cstheme="minorHAnsi"/>
          <w:bCs/>
          <w:color w:val="000000" w:themeColor="text1"/>
          <w:sz w:val="16"/>
          <w:szCs w:val="16"/>
        </w:rPr>
        <w:t xml:space="preserve"> (</w:t>
      </w:r>
      <w:r w:rsidR="008203ED">
        <w:rPr>
          <w:rFonts w:asciiTheme="minorHAnsi" w:hAnsiTheme="minorHAnsi" w:cstheme="minorHAnsi"/>
          <w:bCs/>
          <w:color w:val="000000" w:themeColor="text1"/>
          <w:sz w:val="16"/>
          <w:szCs w:val="16"/>
        </w:rPr>
        <w:t>5,00</w:t>
      </w:r>
      <w:r w:rsidR="00CB1F6B">
        <w:rPr>
          <w:rFonts w:asciiTheme="minorHAnsi" w:hAnsiTheme="minorHAnsi" w:cstheme="minorHAnsi"/>
          <w:bCs/>
          <w:color w:val="000000" w:themeColor="text1"/>
          <w:sz w:val="16"/>
          <w:szCs w:val="16"/>
        </w:rPr>
        <w:t>% a.a.) e somando-se 0,15% a.a., relativamente a 2018, exercício em que o Fundo atingiu a meta.</w:t>
      </w:r>
    </w:p>
    <w:p w14:paraId="13C79BAF" w14:textId="700279DB" w:rsidR="00500AE2" w:rsidRPr="00A92A3E" w:rsidRDefault="006F04AF" w:rsidP="00500AE2">
      <w:pPr>
        <w:rPr>
          <w:rFonts w:asciiTheme="minorHAnsi" w:hAnsiTheme="minorHAnsi" w:cstheme="minorHAnsi"/>
          <w:bCs/>
          <w:sz w:val="16"/>
          <w:szCs w:val="16"/>
        </w:rPr>
      </w:pPr>
      <w:r w:rsidRPr="00A92A3E">
        <w:rPr>
          <w:rFonts w:asciiTheme="minorHAnsi" w:hAnsiTheme="minorHAnsi" w:cstheme="minorHAnsi"/>
          <w:bCs/>
          <w:sz w:val="16"/>
          <w:szCs w:val="16"/>
        </w:rPr>
        <w:t>O</w:t>
      </w:r>
      <w:r w:rsidR="00500AE2" w:rsidRPr="00A92A3E">
        <w:rPr>
          <w:rFonts w:asciiTheme="minorHAnsi" w:hAnsiTheme="minorHAnsi" w:cstheme="minorHAnsi"/>
          <w:bCs/>
          <w:sz w:val="16"/>
          <w:szCs w:val="16"/>
        </w:rPr>
        <w:t xml:space="preserve">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00500AE2" w:rsidRPr="00A92A3E">
        <w:rPr>
          <w:rFonts w:asciiTheme="minorHAnsi" w:hAnsiTheme="minorHAnsi" w:cstheme="minorHAnsi"/>
          <w:bCs/>
          <w:sz w:val="16"/>
          <w:szCs w:val="16"/>
        </w:rPr>
        <w:t>no exercício de sua</w:t>
      </w:r>
      <w:r w:rsidRPr="00A92A3E">
        <w:rPr>
          <w:rFonts w:asciiTheme="minorHAnsi" w:hAnsiTheme="minorHAnsi" w:cstheme="minorHAnsi"/>
          <w:bCs/>
          <w:sz w:val="16"/>
          <w:szCs w:val="16"/>
        </w:rPr>
        <w:t>s ati</w:t>
      </w:r>
      <w:r w:rsidR="00524E75" w:rsidRPr="00A92A3E">
        <w:rPr>
          <w:rFonts w:asciiTheme="minorHAnsi" w:hAnsiTheme="minorHAnsi" w:cstheme="minorHAnsi"/>
          <w:bCs/>
          <w:sz w:val="16"/>
          <w:szCs w:val="16"/>
        </w:rPr>
        <w:t>vidades</w:t>
      </w:r>
      <w:r w:rsidR="00500AE2" w:rsidRPr="00A92A3E">
        <w:rPr>
          <w:rFonts w:asciiTheme="minorHAnsi" w:hAnsiTheme="minorHAnsi" w:cstheme="minorHAnsi"/>
          <w:bCs/>
          <w:sz w:val="16"/>
          <w:szCs w:val="16"/>
        </w:rPr>
        <w:t xml:space="preserve">, através de estudos técnicos, promoverá o acompanhamento das duas taxas (meta de rentabilidade e </w:t>
      </w:r>
      <w:r w:rsidR="00635A94" w:rsidRPr="00A92A3E">
        <w:rPr>
          <w:rFonts w:asciiTheme="minorHAnsi" w:hAnsiTheme="minorHAnsi" w:cstheme="minorHAnsi"/>
          <w:bCs/>
          <w:sz w:val="16"/>
          <w:szCs w:val="16"/>
        </w:rPr>
        <w:t xml:space="preserve">taxa </w:t>
      </w:r>
      <w:r w:rsidR="00500AE2" w:rsidRPr="00A92A3E">
        <w:rPr>
          <w:rFonts w:asciiTheme="minorHAnsi" w:hAnsiTheme="minorHAnsi" w:cstheme="minorHAnsi"/>
          <w:bCs/>
          <w:sz w:val="16"/>
          <w:szCs w:val="16"/>
        </w:rPr>
        <w:t>atuarial</w:t>
      </w:r>
      <w:r w:rsidR="00635A94" w:rsidRPr="00A92A3E">
        <w:rPr>
          <w:rFonts w:asciiTheme="minorHAnsi" w:hAnsiTheme="minorHAnsi" w:cstheme="minorHAnsi"/>
          <w:bCs/>
          <w:sz w:val="16"/>
          <w:szCs w:val="16"/>
        </w:rPr>
        <w:t xml:space="preserve"> de juros</w:t>
      </w:r>
      <w:r w:rsidR="00500AE2" w:rsidRPr="00A92A3E">
        <w:rPr>
          <w:rFonts w:asciiTheme="minorHAnsi" w:hAnsiTheme="minorHAnsi" w:cstheme="minorHAnsi"/>
          <w:bCs/>
          <w:sz w:val="16"/>
          <w:szCs w:val="16"/>
        </w:rPr>
        <w:t xml:space="preserve">) para que seja evidenciado, no longo prazo, qual proporciona </w:t>
      </w:r>
      <w:r w:rsidR="00522FD8" w:rsidRPr="00A92A3E">
        <w:rPr>
          <w:rFonts w:asciiTheme="minorHAnsi" w:hAnsiTheme="minorHAnsi" w:cstheme="minorHAnsi"/>
          <w:bCs/>
          <w:sz w:val="16"/>
          <w:szCs w:val="16"/>
        </w:rPr>
        <w:t xml:space="preserve">a </w:t>
      </w:r>
      <w:r w:rsidR="00500AE2" w:rsidRPr="00A92A3E">
        <w:rPr>
          <w:rFonts w:asciiTheme="minorHAnsi" w:hAnsiTheme="minorHAnsi" w:cstheme="minorHAnsi"/>
          <w:bCs/>
          <w:sz w:val="16"/>
          <w:szCs w:val="16"/>
        </w:rPr>
        <w:t xml:space="preserve">melhor situação </w:t>
      </w:r>
      <w:r w:rsidR="00524E75" w:rsidRPr="00A92A3E">
        <w:rPr>
          <w:rFonts w:asciiTheme="minorHAnsi" w:hAnsiTheme="minorHAnsi" w:cstheme="minorHAnsi"/>
          <w:bCs/>
          <w:sz w:val="16"/>
          <w:szCs w:val="16"/>
        </w:rPr>
        <w:t xml:space="preserve">financeira e atuarial </w:t>
      </w:r>
      <w:r w:rsidR="00500AE2" w:rsidRPr="00A92A3E">
        <w:rPr>
          <w:rFonts w:asciiTheme="minorHAnsi" w:hAnsiTheme="minorHAnsi" w:cstheme="minorHAnsi"/>
          <w:bCs/>
          <w:sz w:val="16"/>
          <w:szCs w:val="16"/>
        </w:rPr>
        <w:t xml:space="preserve">para o plano de benefícios </w:t>
      </w:r>
      <w:r w:rsidR="00524E75" w:rsidRPr="00A92A3E">
        <w:rPr>
          <w:rFonts w:asciiTheme="minorHAnsi" w:hAnsiTheme="minorHAnsi" w:cstheme="minorHAnsi"/>
          <w:bCs/>
          <w:sz w:val="16"/>
          <w:szCs w:val="16"/>
        </w:rPr>
        <w:t>implementado</w:t>
      </w:r>
      <w:r w:rsidR="00500AE2" w:rsidRPr="00A92A3E">
        <w:rPr>
          <w:rFonts w:asciiTheme="minorHAnsi" w:hAnsiTheme="minorHAnsi" w:cstheme="minorHAnsi"/>
          <w:bCs/>
          <w:sz w:val="16"/>
          <w:szCs w:val="16"/>
        </w:rPr>
        <w:t>.</w:t>
      </w:r>
    </w:p>
    <w:p w14:paraId="6BAC5154" w14:textId="20F3BEDC" w:rsidR="00500AE2"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Observada a necessidade d</w:t>
      </w:r>
      <w:r w:rsidR="00524E75" w:rsidRPr="00A92A3E">
        <w:rPr>
          <w:rFonts w:asciiTheme="minorHAnsi" w:hAnsiTheme="minorHAnsi" w:cstheme="minorHAnsi"/>
          <w:bCs/>
          <w:sz w:val="16"/>
          <w:szCs w:val="16"/>
        </w:rPr>
        <w:t>a</w:t>
      </w:r>
      <w:r w:rsidRPr="00A92A3E">
        <w:rPr>
          <w:rFonts w:asciiTheme="minorHAnsi" w:hAnsiTheme="minorHAnsi" w:cstheme="minorHAnsi"/>
          <w:bCs/>
          <w:sz w:val="16"/>
          <w:szCs w:val="16"/>
        </w:rPr>
        <w:t xml:space="preserve"> busca e manutenção do equilíbrio financeiro e atuarial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xml:space="preserve">, </w:t>
      </w:r>
      <w:r w:rsidR="00C82802" w:rsidRPr="00A92A3E">
        <w:rPr>
          <w:rFonts w:asciiTheme="minorHAnsi" w:hAnsiTheme="minorHAnsi" w:cstheme="minorHAnsi"/>
          <w:bCs/>
          <w:sz w:val="16"/>
          <w:szCs w:val="16"/>
        </w:rPr>
        <w:t xml:space="preserve">em cumprimento a Lei </w:t>
      </w:r>
      <w:r w:rsidR="00024DC1" w:rsidRPr="00A92A3E">
        <w:rPr>
          <w:rFonts w:asciiTheme="minorHAnsi" w:hAnsiTheme="minorHAnsi" w:cstheme="minorHAnsi"/>
          <w:bCs/>
          <w:sz w:val="16"/>
          <w:szCs w:val="16"/>
        </w:rPr>
        <w:t xml:space="preserve">nº </w:t>
      </w:r>
      <w:r w:rsidR="00C82802" w:rsidRPr="00A92A3E">
        <w:rPr>
          <w:rFonts w:asciiTheme="minorHAnsi" w:hAnsiTheme="minorHAnsi" w:cstheme="minorHAnsi"/>
          <w:bCs/>
          <w:sz w:val="16"/>
          <w:szCs w:val="16"/>
        </w:rPr>
        <w:t>9.7</w:t>
      </w:r>
      <w:r w:rsidR="00006476" w:rsidRPr="00A92A3E">
        <w:rPr>
          <w:rFonts w:asciiTheme="minorHAnsi" w:hAnsiTheme="minorHAnsi" w:cstheme="minorHAnsi"/>
          <w:bCs/>
          <w:sz w:val="16"/>
          <w:szCs w:val="16"/>
        </w:rPr>
        <w:t>17</w:t>
      </w:r>
      <w:r w:rsidR="00B956F3" w:rsidRPr="00A92A3E">
        <w:rPr>
          <w:rFonts w:asciiTheme="minorHAnsi" w:hAnsiTheme="minorHAnsi" w:cstheme="minorHAnsi"/>
          <w:bCs/>
          <w:sz w:val="16"/>
          <w:szCs w:val="16"/>
        </w:rPr>
        <w:t xml:space="preserve">/1998, em seu Art. 1º, </w:t>
      </w:r>
      <w:r w:rsidRPr="00A92A3E">
        <w:rPr>
          <w:rFonts w:asciiTheme="minorHAnsi" w:hAnsiTheme="minorHAnsi" w:cstheme="minorHAnsi"/>
          <w:bCs/>
          <w:sz w:val="16"/>
          <w:szCs w:val="16"/>
        </w:rPr>
        <w:t>a meta de rentabilidade poderá ser diferenciada por período</w:t>
      </w:r>
      <w:r w:rsidR="00522FD8" w:rsidRPr="00A92A3E">
        <w:rPr>
          <w:rFonts w:asciiTheme="minorHAnsi" w:hAnsiTheme="minorHAnsi" w:cstheme="minorHAnsi"/>
          <w:bCs/>
          <w:sz w:val="16"/>
          <w:szCs w:val="16"/>
        </w:rPr>
        <w:t>s</w:t>
      </w:r>
      <w:r w:rsidRPr="00A92A3E">
        <w:rPr>
          <w:rFonts w:asciiTheme="minorHAnsi" w:hAnsiTheme="minorHAnsi" w:cstheme="minorHAnsi"/>
          <w:bCs/>
          <w:sz w:val="16"/>
          <w:szCs w:val="16"/>
        </w:rPr>
        <w:t xml:space="preserve"> dentro do</w:t>
      </w:r>
      <w:r w:rsidR="00522FD8" w:rsidRPr="00A92A3E">
        <w:rPr>
          <w:rFonts w:asciiTheme="minorHAnsi" w:hAnsiTheme="minorHAnsi" w:cstheme="minorHAnsi"/>
          <w:bCs/>
          <w:sz w:val="16"/>
          <w:szCs w:val="16"/>
        </w:rPr>
        <w:t xml:space="preserve"> próprio</w:t>
      </w:r>
      <w:r w:rsidRPr="00A92A3E">
        <w:rPr>
          <w:rFonts w:asciiTheme="minorHAnsi" w:hAnsiTheme="minorHAnsi" w:cstheme="minorHAnsi"/>
          <w:bCs/>
          <w:sz w:val="16"/>
          <w:szCs w:val="16"/>
        </w:rPr>
        <w:t xml:space="preserve"> exercício, prospectada pelo perfil da carteira de investimentos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e pelo cenário macroeconômico e financeiro</w:t>
      </w:r>
      <w:r w:rsidR="008600CA" w:rsidRPr="00A92A3E">
        <w:rPr>
          <w:rFonts w:asciiTheme="minorHAnsi" w:hAnsiTheme="minorHAnsi" w:cstheme="minorHAnsi"/>
          <w:bCs/>
          <w:sz w:val="16"/>
          <w:szCs w:val="16"/>
        </w:rPr>
        <w:t>.</w:t>
      </w:r>
    </w:p>
    <w:p w14:paraId="6D35C52D" w14:textId="77777777" w:rsidR="00500AE2" w:rsidRPr="00A92A3E" w:rsidRDefault="00500AE2" w:rsidP="000E0932">
      <w:pPr>
        <w:pStyle w:val="Ttulo1"/>
        <w:rPr>
          <w:rFonts w:asciiTheme="minorHAnsi" w:hAnsiTheme="minorHAnsi" w:cstheme="minorHAnsi"/>
          <w:sz w:val="16"/>
          <w:szCs w:val="16"/>
        </w:rPr>
      </w:pPr>
      <w:bookmarkStart w:id="27" w:name="_Toc118105137"/>
      <w:bookmarkStart w:id="28" w:name="_Toc150330291"/>
      <w:bookmarkStart w:id="29" w:name="_Toc435202738"/>
      <w:bookmarkStart w:id="30" w:name="_Toc490036540"/>
      <w:bookmarkStart w:id="31" w:name="_Toc435202750"/>
      <w:bookmarkStart w:id="32" w:name="_Toc490036556"/>
      <w:r w:rsidRPr="00A92A3E">
        <w:rPr>
          <w:rFonts w:asciiTheme="minorHAnsi" w:hAnsiTheme="minorHAnsi" w:cstheme="minorHAnsi"/>
          <w:sz w:val="16"/>
          <w:szCs w:val="16"/>
        </w:rPr>
        <w:t>CENÁRIO ECONÔMICO</w:t>
      </w:r>
      <w:bookmarkEnd w:id="27"/>
      <w:bookmarkEnd w:id="28"/>
    </w:p>
    <w:p w14:paraId="14FD9761" w14:textId="77777777" w:rsidR="008557E5" w:rsidRPr="00664642" w:rsidRDefault="008557E5" w:rsidP="008557E5">
      <w:pPr>
        <w:pStyle w:val="Ttulo1"/>
        <w:numPr>
          <w:ilvl w:val="0"/>
          <w:numId w:val="0"/>
        </w:numPr>
        <w:ind w:left="720"/>
        <w:rPr>
          <w:rFonts w:asciiTheme="minorHAnsi" w:hAnsiTheme="minorHAnsi" w:cstheme="minorHAnsi"/>
          <w:color w:val="auto"/>
          <w:sz w:val="16"/>
          <w:szCs w:val="16"/>
        </w:rPr>
      </w:pPr>
      <w:bookmarkStart w:id="33" w:name="_Toc150330292"/>
      <w:bookmarkStart w:id="34" w:name="_Toc118105139"/>
      <w:r w:rsidRPr="00664642">
        <w:rPr>
          <w:rFonts w:asciiTheme="minorHAnsi" w:hAnsiTheme="minorHAnsi" w:cstheme="minorHAnsi"/>
          <w:color w:val="auto"/>
          <w:sz w:val="16"/>
          <w:szCs w:val="16"/>
        </w:rPr>
        <w:t>INTERNACIONAL</w:t>
      </w:r>
      <w:bookmarkEnd w:id="33"/>
    </w:p>
    <w:p w14:paraId="5FA51970" w14:textId="77777777" w:rsidR="008557E5" w:rsidRPr="00664642" w:rsidRDefault="008557E5" w:rsidP="008557E5">
      <w:pPr>
        <w:rPr>
          <w:rFonts w:asciiTheme="minorHAnsi" w:hAnsiTheme="minorHAnsi" w:cstheme="minorHAnsi"/>
          <w:b/>
          <w:color w:val="auto"/>
          <w:sz w:val="16"/>
          <w:szCs w:val="16"/>
        </w:rPr>
      </w:pPr>
      <w:r w:rsidRPr="00664642">
        <w:rPr>
          <w:rFonts w:asciiTheme="minorHAnsi" w:hAnsiTheme="minorHAnsi" w:cstheme="minorHAnsi"/>
          <w:b/>
          <w:color w:val="auto"/>
          <w:sz w:val="16"/>
          <w:szCs w:val="16"/>
        </w:rPr>
        <w:t>Estados Unidos</w:t>
      </w:r>
    </w:p>
    <w:p w14:paraId="5BCDB62D" w14:textId="77777777" w:rsidR="008557E5" w:rsidRPr="00664642" w:rsidRDefault="008557E5" w:rsidP="008557E5">
      <w:pPr>
        <w:rPr>
          <w:rFonts w:asciiTheme="minorHAnsi" w:hAnsiTheme="minorHAnsi" w:cstheme="minorHAnsi"/>
          <w:b/>
          <w:color w:val="auto"/>
          <w:sz w:val="16"/>
          <w:szCs w:val="16"/>
        </w:rPr>
      </w:pPr>
      <w:r w:rsidRPr="00664642">
        <w:rPr>
          <w:rFonts w:asciiTheme="minorHAnsi" w:hAnsiTheme="minorHAnsi" w:cstheme="minorHAnsi"/>
          <w:b/>
          <w:color w:val="auto"/>
          <w:sz w:val="16"/>
          <w:szCs w:val="16"/>
        </w:rPr>
        <w:t>Curva de Juros</w:t>
      </w:r>
    </w:p>
    <w:p w14:paraId="357AA5AA" w14:textId="0DA21FBF"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bCs/>
          <w:color w:val="auto"/>
          <w:sz w:val="16"/>
          <w:szCs w:val="16"/>
        </w:rPr>
        <w:t>O mês de setembro foi um mês marcado por um evento que não se via a mais de 15 anos, que foi o rendimento do título de 10 anos do Tesouro dos Estados Unidos (treasury) atingir patamar superior a 4,50%.</w:t>
      </w:r>
    </w:p>
    <w:p w14:paraId="3D323024" w14:textId="77777777" w:rsidR="008557E5" w:rsidRPr="00664642" w:rsidRDefault="008557E5" w:rsidP="008557E5">
      <w:pPr>
        <w:jc w:val="center"/>
        <w:rPr>
          <w:rFonts w:asciiTheme="minorHAnsi" w:hAnsiTheme="minorHAnsi" w:cstheme="minorHAnsi"/>
          <w:noProof/>
          <w:sz w:val="16"/>
          <w:szCs w:val="16"/>
          <w:lang w:eastAsia="pt-BR"/>
        </w:rPr>
      </w:pPr>
      <w:r w:rsidRPr="00664642">
        <w:rPr>
          <w:rFonts w:asciiTheme="minorHAnsi" w:hAnsiTheme="minorHAnsi" w:cstheme="minorHAnsi"/>
          <w:noProof/>
          <w:sz w:val="16"/>
          <w:szCs w:val="16"/>
          <w:lang w:eastAsia="pt-BR"/>
        </w:rPr>
        <w:lastRenderedPageBreak/>
        <w:drawing>
          <wp:anchor distT="0" distB="0" distL="114300" distR="114300" simplePos="0" relativeHeight="251661312" behindDoc="0" locked="0" layoutInCell="1" allowOverlap="1" wp14:anchorId="17A0B32B" wp14:editId="0B0628E1">
            <wp:simplePos x="0" y="0"/>
            <wp:positionH relativeFrom="column">
              <wp:posOffset>185844</wp:posOffset>
            </wp:positionH>
            <wp:positionV relativeFrom="paragraph">
              <wp:posOffset>333375</wp:posOffset>
            </wp:positionV>
            <wp:extent cx="5494496" cy="3055885"/>
            <wp:effectExtent l="0" t="0" r="1270" b="8890"/>
            <wp:wrapTopAndBottom/>
            <wp:docPr id="486031703" name="Picture 1" descr="A graph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031703" name="Picture 1" descr="A graph with blue lin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94496" cy="3055885"/>
                    </a:xfrm>
                    <a:prstGeom prst="rect">
                      <a:avLst/>
                    </a:prstGeom>
                  </pic:spPr>
                </pic:pic>
              </a:graphicData>
            </a:graphic>
            <wp14:sizeRelH relativeFrom="margin">
              <wp14:pctWidth>0</wp14:pctWidth>
            </wp14:sizeRelH>
            <wp14:sizeRelV relativeFrom="margin">
              <wp14:pctHeight>0</wp14:pctHeight>
            </wp14:sizeRelV>
          </wp:anchor>
        </w:drawing>
      </w:r>
      <w:r w:rsidRPr="00664642">
        <w:rPr>
          <w:rFonts w:asciiTheme="minorHAnsi" w:hAnsiTheme="minorHAnsi" w:cstheme="minorHAnsi"/>
          <w:sz w:val="16"/>
          <w:szCs w:val="16"/>
        </w:rPr>
        <w:t>EUA Treasury – 10 anos:</w:t>
      </w:r>
    </w:p>
    <w:p w14:paraId="496DB68F" w14:textId="77777777" w:rsidR="008557E5" w:rsidRPr="00664642" w:rsidRDefault="008557E5" w:rsidP="008557E5">
      <w:pPr>
        <w:jc w:val="center"/>
        <w:rPr>
          <w:rFonts w:asciiTheme="minorHAnsi" w:hAnsiTheme="minorHAnsi" w:cstheme="minorHAnsi"/>
          <w:sz w:val="16"/>
          <w:szCs w:val="16"/>
          <w:highlight w:val="yellow"/>
        </w:rPr>
      </w:pPr>
    </w:p>
    <w:p w14:paraId="110171DB" w14:textId="77777777" w:rsidR="008557E5"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 xml:space="preserve">Fonte: </w:t>
      </w:r>
      <w:hyperlink r:id="rId9" w:history="1">
        <w:r w:rsidRPr="007F143F">
          <w:rPr>
            <w:rStyle w:val="Hyperlink"/>
            <w:rFonts w:asciiTheme="minorHAnsi" w:hAnsiTheme="minorHAnsi" w:cstheme="minorHAnsi"/>
            <w:sz w:val="16"/>
            <w:szCs w:val="16"/>
          </w:rPr>
          <w:t>https://tradingeconomics.com/united-states/government-bond-yield</w:t>
        </w:r>
      </w:hyperlink>
    </w:p>
    <w:p w14:paraId="7F79933B" w14:textId="77777777" w:rsidR="008557E5" w:rsidRPr="00664642" w:rsidRDefault="008557E5" w:rsidP="008557E5">
      <w:pPr>
        <w:rPr>
          <w:rFonts w:asciiTheme="minorHAnsi" w:hAnsiTheme="minorHAnsi" w:cstheme="minorHAnsi"/>
          <w:bCs/>
          <w:color w:val="auto"/>
          <w:sz w:val="16"/>
          <w:szCs w:val="16"/>
        </w:rPr>
      </w:pPr>
      <w:r w:rsidRPr="00664642">
        <w:rPr>
          <w:rFonts w:asciiTheme="minorHAnsi" w:hAnsiTheme="minorHAnsi" w:cstheme="minorHAnsi"/>
          <w:bCs/>
          <w:color w:val="auto"/>
          <w:sz w:val="16"/>
          <w:szCs w:val="16"/>
        </w:rPr>
        <w:t>Por sua vez, o título público de 30 anos subiu acima dos 4,60%, maior alta em mais de 10 anos.</w:t>
      </w:r>
    </w:p>
    <w:p w14:paraId="761232DF" w14:textId="77777777" w:rsidR="008557E5" w:rsidRPr="00664642" w:rsidRDefault="008557E5" w:rsidP="008557E5">
      <w:pPr>
        <w:jc w:val="center"/>
        <w:rPr>
          <w:rFonts w:asciiTheme="minorHAnsi" w:hAnsiTheme="minorHAnsi" w:cstheme="minorHAnsi"/>
          <w:sz w:val="16"/>
          <w:szCs w:val="16"/>
          <w:highlight w:val="yellow"/>
        </w:rPr>
      </w:pPr>
      <w:r w:rsidRPr="00664642">
        <w:rPr>
          <w:rFonts w:asciiTheme="minorHAnsi" w:hAnsiTheme="minorHAnsi" w:cstheme="minorHAnsi"/>
          <w:sz w:val="16"/>
          <w:szCs w:val="16"/>
        </w:rPr>
        <w:t>EUA Treasury – 30 anos:</w:t>
      </w:r>
    </w:p>
    <w:p w14:paraId="33367958" w14:textId="77777777" w:rsidR="008557E5" w:rsidRPr="00664642" w:rsidRDefault="008557E5" w:rsidP="008557E5">
      <w:pPr>
        <w:rPr>
          <w:rFonts w:asciiTheme="minorHAnsi" w:hAnsiTheme="minorHAnsi" w:cstheme="minorHAnsi"/>
          <w:i/>
          <w:iCs/>
          <w:sz w:val="16"/>
          <w:szCs w:val="16"/>
        </w:rPr>
      </w:pPr>
      <w:r w:rsidRPr="00664642">
        <w:rPr>
          <w:rFonts w:asciiTheme="minorHAnsi" w:hAnsiTheme="minorHAnsi" w:cstheme="minorHAnsi"/>
          <w:noProof/>
          <w:sz w:val="16"/>
          <w:szCs w:val="16"/>
          <w:lang w:eastAsia="pt-BR"/>
        </w:rPr>
        <w:drawing>
          <wp:anchor distT="0" distB="0" distL="114300" distR="114300" simplePos="0" relativeHeight="251662336" behindDoc="0" locked="0" layoutInCell="1" allowOverlap="1" wp14:anchorId="065AF252" wp14:editId="6A0ED834">
            <wp:simplePos x="0" y="0"/>
            <wp:positionH relativeFrom="column">
              <wp:posOffset>166370</wp:posOffset>
            </wp:positionH>
            <wp:positionV relativeFrom="paragraph">
              <wp:posOffset>56515</wp:posOffset>
            </wp:positionV>
            <wp:extent cx="3686810" cy="2053590"/>
            <wp:effectExtent l="0" t="0" r="8890" b="3810"/>
            <wp:wrapSquare wrapText="bothSides"/>
            <wp:docPr id="1454566242" name="Picture 1"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566242" name="Picture 1" descr="A graph with numbers and lin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686810" cy="2053590"/>
                    </a:xfrm>
                    <a:prstGeom prst="rect">
                      <a:avLst/>
                    </a:prstGeom>
                  </pic:spPr>
                </pic:pic>
              </a:graphicData>
            </a:graphic>
            <wp14:sizeRelH relativeFrom="margin">
              <wp14:pctWidth>0</wp14:pctWidth>
            </wp14:sizeRelH>
            <wp14:sizeRelV relativeFrom="margin">
              <wp14:pctHeight>0</wp14:pctHeight>
            </wp14:sizeRelV>
          </wp:anchor>
        </w:drawing>
      </w:r>
      <w:r w:rsidRPr="00664642">
        <w:rPr>
          <w:rFonts w:asciiTheme="minorHAnsi" w:hAnsiTheme="minorHAnsi" w:cstheme="minorHAnsi"/>
          <w:i/>
          <w:iCs/>
          <w:sz w:val="16"/>
          <w:szCs w:val="16"/>
        </w:rPr>
        <w:t>Fonte: https://tradingeconomics.com/united-states/30-year-bond-yield</w:t>
      </w:r>
    </w:p>
    <w:p w14:paraId="4BD9E0D6"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Esse movimento na curva de juros americana foi o que gerou abalo não somente na economia americana, mas ao redor de todo o mundo.</w:t>
      </w:r>
    </w:p>
    <w:p w14:paraId="0093509B"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De início, o impacto imediato foi em relação a própria moeda, o dólar, ganhou tração e força em relação a praticamente todas as moedas estrangeiras.</w:t>
      </w:r>
    </w:p>
    <w:p w14:paraId="2E87FC23"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Um indicador responsável por calibrar a magnitude da força do dólar perante outras moedas de países desenvolvidos é o índice DXY (Dólar Index). Esse indicador compara a moeda americana com uma cesta ponderada das principais moedas estrangeiras (euro, iene (Japão), libra (Inglaterra), dólar canadense, coroa sueca, e franco suíço). Essa ponderação coloca o Euro como maior representante da cesta (58%), seguido pelo Iene japonês (14%), Libra (12%), Dólar canadense (9%), Coroa sueca (4%), e Franco suíço (4%).</w:t>
      </w:r>
    </w:p>
    <w:p w14:paraId="31E09C8A" w14:textId="717050E0" w:rsidR="008557E5"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Em setembro, o índice DXY (Dólar Index) registrou alta superior a 106, patamar mais elevado do ano, conforme imagem do gráfico:</w:t>
      </w:r>
    </w:p>
    <w:p w14:paraId="4EEF9037" w14:textId="77777777" w:rsidR="008557E5" w:rsidRPr="00664642" w:rsidRDefault="008557E5" w:rsidP="008557E5">
      <w:pPr>
        <w:jc w:val="center"/>
        <w:rPr>
          <w:rFonts w:asciiTheme="minorHAnsi" w:hAnsiTheme="minorHAnsi" w:cstheme="minorHAnsi"/>
          <w:sz w:val="16"/>
          <w:szCs w:val="16"/>
          <w:lang w:val="en-US"/>
        </w:rPr>
      </w:pPr>
      <w:r w:rsidRPr="00664642">
        <w:rPr>
          <w:rFonts w:asciiTheme="minorHAnsi" w:hAnsiTheme="minorHAnsi" w:cstheme="minorHAnsi"/>
          <w:noProof/>
          <w:sz w:val="16"/>
          <w:szCs w:val="16"/>
          <w:lang w:eastAsia="pt-BR"/>
        </w:rPr>
        <w:lastRenderedPageBreak/>
        <w:drawing>
          <wp:anchor distT="0" distB="0" distL="114300" distR="114300" simplePos="0" relativeHeight="251663360" behindDoc="0" locked="0" layoutInCell="1" allowOverlap="1" wp14:anchorId="5689275E" wp14:editId="66B8313D">
            <wp:simplePos x="0" y="0"/>
            <wp:positionH relativeFrom="column">
              <wp:posOffset>157480</wp:posOffset>
            </wp:positionH>
            <wp:positionV relativeFrom="paragraph">
              <wp:posOffset>332740</wp:posOffset>
            </wp:positionV>
            <wp:extent cx="5657850" cy="2234565"/>
            <wp:effectExtent l="0" t="0" r="0" b="0"/>
            <wp:wrapSquare wrapText="bothSides"/>
            <wp:docPr id="362335879" name="Picture 1" descr="A graph showing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35879" name="Picture 1" descr="A graph showing a 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57850" cy="2234565"/>
                    </a:xfrm>
                    <a:prstGeom prst="rect">
                      <a:avLst/>
                    </a:prstGeom>
                  </pic:spPr>
                </pic:pic>
              </a:graphicData>
            </a:graphic>
            <wp14:sizeRelH relativeFrom="margin">
              <wp14:pctWidth>0</wp14:pctWidth>
            </wp14:sizeRelH>
            <wp14:sizeRelV relativeFrom="margin">
              <wp14:pctHeight>0</wp14:pctHeight>
            </wp14:sizeRelV>
          </wp:anchor>
        </w:drawing>
      </w:r>
      <w:r w:rsidRPr="00664642">
        <w:rPr>
          <w:rFonts w:asciiTheme="minorHAnsi" w:hAnsiTheme="minorHAnsi" w:cstheme="minorHAnsi"/>
          <w:sz w:val="16"/>
          <w:szCs w:val="16"/>
          <w:lang w:val="en-US"/>
        </w:rPr>
        <w:t>DXY Dollar Index:</w:t>
      </w:r>
    </w:p>
    <w:p w14:paraId="577C5AE5" w14:textId="77777777" w:rsidR="008557E5" w:rsidRPr="00664642" w:rsidRDefault="008557E5" w:rsidP="008557E5">
      <w:pPr>
        <w:rPr>
          <w:rFonts w:asciiTheme="minorHAnsi" w:hAnsiTheme="minorHAnsi" w:cstheme="minorHAnsi"/>
          <w:i/>
          <w:iCs/>
          <w:sz w:val="16"/>
          <w:szCs w:val="16"/>
          <w:lang w:val="en-US"/>
        </w:rPr>
      </w:pPr>
      <w:r w:rsidRPr="00664642">
        <w:rPr>
          <w:rFonts w:asciiTheme="minorHAnsi" w:hAnsiTheme="minorHAnsi" w:cstheme="minorHAnsi"/>
          <w:i/>
          <w:iCs/>
          <w:sz w:val="16"/>
          <w:szCs w:val="16"/>
          <w:lang w:val="en-US"/>
        </w:rPr>
        <w:t>Fonte: https://tradingeconomics.com/dxy:cur</w:t>
      </w:r>
    </w:p>
    <w:p w14:paraId="58B7DB4E"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 xml:space="preserve">Outros fatores que são válidos se destacarem que contribuíram para essa abertura da curva das treasuries foram: </w:t>
      </w:r>
    </w:p>
    <w:p w14:paraId="2065308E"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 xml:space="preserve">- Percepção de recessão econômica sensivelmente mais baixa por conta do crescimento econômico americano que até o momento registra alta no terceiro trimestre; </w:t>
      </w:r>
    </w:p>
    <w:p w14:paraId="65047CAB"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 xml:space="preserve">- O banco central chinês (PBoC) que vem trabalhando ao longo do segundo semestre com a venda de treasuries no mercado para o fortalecimento da moeda local (Yuan); </w:t>
      </w:r>
    </w:p>
    <w:p w14:paraId="782F9817"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 A preocupação com a trajetória fiscal americana, que conta com um aumento constante de emissão de novos títulos públicos pelo tesouro;</w:t>
      </w:r>
    </w:p>
    <w:p w14:paraId="54EAA0BE"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 E principalmente, a percepção de uma elevação da taxa de juros neutra. Vale lembrar que o juro neutro nada mais é do que aquele patamar de juros que não possui nenhum potencial de impacto econômico, ou seja, que não possui o papel contracionista, nem o papel expansionista. Logo, se a percepção é que o juro neutro dos Estados Unidos está em um patamar superior, toda a estrutura da curva de juros consequentemente se eleva também.</w:t>
      </w:r>
    </w:p>
    <w:p w14:paraId="48257290"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Mercado de trabalho</w:t>
      </w:r>
    </w:p>
    <w:p w14:paraId="5FA8DA79"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Outra notícia que tomou as manchetes globais no mês de setembro foi o dado do mercado de trabalho americano, registrado através do relatório Jolts e o Nonfarm Payroll.</w:t>
      </w:r>
    </w:p>
    <w:p w14:paraId="6BD23DD4"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Esses relatórios apresentam forte significância pois fazem parte de uma das condições para uma política monetária menos Hawk (contracionista) do FED (Federal Reserve, banco central americano).</w:t>
      </w:r>
    </w:p>
    <w:p w14:paraId="7B9AE11A"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Enquanto o relatório Jolts, responsável por informar o número de vagas abertas, trazia quedas desde o mês de abril, em setembro foi divulgado uma disparada do número de vagas abertas que saiu de 8.9 milhões em julho, para 9.6 milhões em agosto.</w:t>
      </w:r>
    </w:p>
    <w:p w14:paraId="7FBAA2A5"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64384" behindDoc="0" locked="0" layoutInCell="1" allowOverlap="1" wp14:anchorId="4345E72C" wp14:editId="6BC2600B">
            <wp:simplePos x="0" y="0"/>
            <wp:positionH relativeFrom="column">
              <wp:posOffset>474980</wp:posOffset>
            </wp:positionH>
            <wp:positionV relativeFrom="paragraph">
              <wp:posOffset>231775</wp:posOffset>
            </wp:positionV>
            <wp:extent cx="3710940" cy="1810385"/>
            <wp:effectExtent l="0" t="0" r="3810" b="0"/>
            <wp:wrapSquare wrapText="bothSides"/>
            <wp:docPr id="916515306" name="Picture 1" descr="A graph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515306" name="Picture 1" descr="A graph of blue bar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710940" cy="1810385"/>
                    </a:xfrm>
                    <a:prstGeom prst="rect">
                      <a:avLst/>
                    </a:prstGeom>
                  </pic:spPr>
                </pic:pic>
              </a:graphicData>
            </a:graphic>
            <wp14:sizeRelH relativeFrom="margin">
              <wp14:pctWidth>0</wp14:pctWidth>
            </wp14:sizeRelH>
            <wp14:sizeRelV relativeFrom="margin">
              <wp14:pctHeight>0</wp14:pctHeight>
            </wp14:sizeRelV>
          </wp:anchor>
        </w:drawing>
      </w:r>
      <w:r w:rsidRPr="00664642">
        <w:rPr>
          <w:rFonts w:asciiTheme="minorHAnsi" w:hAnsiTheme="minorHAnsi" w:cstheme="minorHAnsi"/>
          <w:sz w:val="16"/>
          <w:szCs w:val="16"/>
        </w:rPr>
        <w:t>Vagas abertas (Jolts) - EUA:</w:t>
      </w:r>
    </w:p>
    <w:p w14:paraId="35FE8C0D" w14:textId="77777777" w:rsidR="008557E5" w:rsidRPr="00664642" w:rsidRDefault="008557E5" w:rsidP="008557E5">
      <w:pPr>
        <w:jc w:val="center"/>
        <w:rPr>
          <w:rFonts w:asciiTheme="minorHAnsi" w:hAnsiTheme="minorHAnsi" w:cstheme="minorHAnsi"/>
          <w:sz w:val="16"/>
          <w:szCs w:val="16"/>
        </w:rPr>
      </w:pPr>
    </w:p>
    <w:p w14:paraId="014FAF29" w14:textId="77777777" w:rsidR="008557E5" w:rsidRPr="00664642" w:rsidRDefault="008557E5" w:rsidP="008557E5">
      <w:pPr>
        <w:jc w:val="center"/>
        <w:rPr>
          <w:rFonts w:asciiTheme="minorHAnsi" w:hAnsiTheme="minorHAnsi" w:cstheme="minorHAnsi"/>
          <w:sz w:val="16"/>
          <w:szCs w:val="16"/>
        </w:rPr>
      </w:pPr>
    </w:p>
    <w:p w14:paraId="68FF629A" w14:textId="77777777" w:rsidR="008557E5" w:rsidRPr="00664642" w:rsidRDefault="008557E5" w:rsidP="008557E5">
      <w:pPr>
        <w:jc w:val="center"/>
        <w:rPr>
          <w:rFonts w:asciiTheme="minorHAnsi" w:hAnsiTheme="minorHAnsi" w:cstheme="minorHAnsi"/>
          <w:sz w:val="16"/>
          <w:szCs w:val="16"/>
        </w:rPr>
      </w:pPr>
    </w:p>
    <w:p w14:paraId="28769C51" w14:textId="77777777" w:rsidR="008557E5" w:rsidRPr="00664642" w:rsidRDefault="008557E5" w:rsidP="008557E5">
      <w:pPr>
        <w:rPr>
          <w:rFonts w:asciiTheme="minorHAnsi" w:hAnsiTheme="minorHAnsi" w:cstheme="minorHAnsi"/>
          <w:sz w:val="16"/>
          <w:szCs w:val="16"/>
          <w:highlight w:val="yellow"/>
        </w:rPr>
      </w:pPr>
      <w:r w:rsidRPr="00664642">
        <w:rPr>
          <w:rFonts w:asciiTheme="minorHAnsi" w:hAnsiTheme="minorHAnsi" w:cstheme="minorHAnsi"/>
          <w:i/>
          <w:sz w:val="16"/>
          <w:szCs w:val="16"/>
        </w:rPr>
        <w:t>Fonte: https://tradingeconomics.com/united-states/job-offers</w:t>
      </w:r>
    </w:p>
    <w:p w14:paraId="6957A3B8" w14:textId="77777777" w:rsidR="008557E5" w:rsidRPr="00664642" w:rsidRDefault="008557E5" w:rsidP="008557E5">
      <w:pPr>
        <w:spacing w:before="0" w:after="160" w:line="259" w:lineRule="auto"/>
        <w:ind w:firstLine="708"/>
        <w:rPr>
          <w:rFonts w:asciiTheme="minorHAnsi" w:hAnsiTheme="minorHAnsi" w:cstheme="minorHAnsi"/>
          <w:sz w:val="16"/>
          <w:szCs w:val="16"/>
        </w:rPr>
      </w:pPr>
      <w:r w:rsidRPr="00664642">
        <w:rPr>
          <w:rFonts w:asciiTheme="minorHAnsi" w:hAnsiTheme="minorHAnsi" w:cstheme="minorHAnsi"/>
          <w:sz w:val="16"/>
          <w:szCs w:val="16"/>
        </w:rPr>
        <w:lastRenderedPageBreak/>
        <w:t>Por sua vez, o Nonfarm Payroll, principal relatório do mercado de trabalho americano que registra a criação de novos empregos, reportou em setembro uma criação quase que duas vezes superior à expectativa do mercado, em 336 mil novos empregos, ante 170 mil previsto. No mês agosto, foram criadas 227 mil vagas.</w:t>
      </w:r>
    </w:p>
    <w:p w14:paraId="6230B0F1" w14:textId="77777777" w:rsidR="008557E5" w:rsidRPr="00664642" w:rsidRDefault="008557E5" w:rsidP="008557E5">
      <w:pPr>
        <w:spacing w:before="0" w:after="160" w:line="259" w:lineRule="auto"/>
        <w:ind w:firstLine="708"/>
        <w:rPr>
          <w:rFonts w:asciiTheme="minorHAnsi" w:hAnsiTheme="minorHAnsi" w:cstheme="minorHAnsi"/>
          <w:sz w:val="16"/>
          <w:szCs w:val="16"/>
        </w:rPr>
      </w:pPr>
    </w:p>
    <w:p w14:paraId="01010B5C"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65408" behindDoc="0" locked="0" layoutInCell="1" allowOverlap="1" wp14:anchorId="1AEB76C4" wp14:editId="5637FEEA">
            <wp:simplePos x="0" y="0"/>
            <wp:positionH relativeFrom="column">
              <wp:posOffset>195580</wp:posOffset>
            </wp:positionH>
            <wp:positionV relativeFrom="paragraph">
              <wp:posOffset>280670</wp:posOffset>
            </wp:positionV>
            <wp:extent cx="4999153" cy="2461473"/>
            <wp:effectExtent l="0" t="0" r="0" b="6985"/>
            <wp:wrapSquare wrapText="bothSides"/>
            <wp:docPr id="1184957208" name="Picture 1" descr="A graph of a number of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957208" name="Picture 1" descr="A graph of a number of blue bar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4999153" cy="2461473"/>
                    </a:xfrm>
                    <a:prstGeom prst="rect">
                      <a:avLst/>
                    </a:prstGeom>
                  </pic:spPr>
                </pic:pic>
              </a:graphicData>
            </a:graphic>
            <wp14:sizeRelH relativeFrom="margin">
              <wp14:pctWidth>0</wp14:pctWidth>
            </wp14:sizeRelH>
            <wp14:sizeRelV relativeFrom="margin">
              <wp14:pctHeight>0</wp14:pctHeight>
            </wp14:sizeRelV>
          </wp:anchor>
        </w:drawing>
      </w:r>
      <w:r w:rsidRPr="00664642">
        <w:rPr>
          <w:rFonts w:asciiTheme="minorHAnsi" w:hAnsiTheme="minorHAnsi" w:cstheme="minorHAnsi"/>
          <w:sz w:val="16"/>
          <w:szCs w:val="16"/>
        </w:rPr>
        <w:t>Criação novos empregos (Nonfarm Payroll) - EUA:</w:t>
      </w:r>
    </w:p>
    <w:p w14:paraId="201D7AED" w14:textId="77777777" w:rsidR="008557E5" w:rsidRPr="00664642" w:rsidRDefault="008557E5" w:rsidP="008557E5">
      <w:pPr>
        <w:spacing w:before="0" w:after="160" w:line="259" w:lineRule="auto"/>
        <w:ind w:firstLine="708"/>
        <w:rPr>
          <w:rFonts w:asciiTheme="minorHAnsi" w:hAnsiTheme="minorHAnsi" w:cstheme="minorHAnsi"/>
          <w:sz w:val="16"/>
          <w:szCs w:val="16"/>
        </w:rPr>
      </w:pPr>
      <w:r w:rsidRPr="00664642">
        <w:rPr>
          <w:rFonts w:asciiTheme="minorHAnsi" w:hAnsiTheme="minorHAnsi" w:cstheme="minorHAnsi"/>
          <w:i/>
          <w:sz w:val="16"/>
          <w:szCs w:val="16"/>
        </w:rPr>
        <w:t>Fonte: https://tradingeconomics.com/united-states/non-farm-payrolls</w:t>
      </w:r>
    </w:p>
    <w:p w14:paraId="260199E9" w14:textId="77777777" w:rsidR="008557E5" w:rsidRPr="00664642" w:rsidRDefault="008557E5" w:rsidP="008557E5">
      <w:pPr>
        <w:spacing w:before="0" w:after="160" w:line="259" w:lineRule="auto"/>
        <w:ind w:firstLine="708"/>
        <w:rPr>
          <w:rFonts w:asciiTheme="minorHAnsi" w:hAnsiTheme="minorHAnsi" w:cstheme="minorHAnsi"/>
          <w:sz w:val="16"/>
          <w:szCs w:val="16"/>
        </w:rPr>
      </w:pPr>
      <w:r w:rsidRPr="00664642">
        <w:rPr>
          <w:rFonts w:asciiTheme="minorHAnsi" w:hAnsiTheme="minorHAnsi" w:cstheme="minorHAnsi"/>
          <w:sz w:val="16"/>
          <w:szCs w:val="16"/>
        </w:rPr>
        <w:t>A taxa de desemprego ainda se mostra em patamares bastante baixos, inferior a 4%, com o número de vagas abertas na casa de 1,5x o número de desempregados, ou seja, há mais de uma vaga de emprego aberta para cada profissional buscando emprego.</w:t>
      </w:r>
    </w:p>
    <w:p w14:paraId="267A4D62" w14:textId="77777777" w:rsidR="008557E5" w:rsidRDefault="008557E5" w:rsidP="008557E5">
      <w:pPr>
        <w:spacing w:before="0" w:after="160" w:line="259" w:lineRule="auto"/>
        <w:ind w:firstLine="708"/>
        <w:rPr>
          <w:rFonts w:asciiTheme="minorHAnsi" w:hAnsiTheme="minorHAnsi" w:cstheme="minorHAnsi"/>
          <w:sz w:val="16"/>
          <w:szCs w:val="16"/>
        </w:rPr>
      </w:pPr>
      <w:r w:rsidRPr="00664642">
        <w:rPr>
          <w:rFonts w:asciiTheme="minorHAnsi" w:hAnsiTheme="minorHAnsi" w:cstheme="minorHAnsi"/>
          <w:sz w:val="16"/>
          <w:szCs w:val="16"/>
        </w:rPr>
        <w:t>O principal setor responsável por essa alta foi o setor de serviços, que na contramão das expectativas medidas através do PMI de serviços que sinalizavam contração, que ainda mostra espaço para crescimento.</w:t>
      </w:r>
    </w:p>
    <w:p w14:paraId="3CF7809B"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Inflação</w:t>
      </w:r>
    </w:p>
    <w:p w14:paraId="7E0D8DE3" w14:textId="77777777" w:rsidR="008557E5" w:rsidRPr="00664642" w:rsidRDefault="008557E5" w:rsidP="008557E5">
      <w:pPr>
        <w:spacing w:before="0" w:after="160" w:line="259" w:lineRule="auto"/>
        <w:ind w:firstLine="708"/>
        <w:rPr>
          <w:rFonts w:asciiTheme="minorHAnsi" w:hAnsiTheme="minorHAnsi" w:cstheme="minorHAnsi"/>
          <w:sz w:val="16"/>
          <w:szCs w:val="16"/>
          <w:highlight w:val="yellow"/>
        </w:rPr>
      </w:pPr>
      <w:r w:rsidRPr="00664642">
        <w:rPr>
          <w:rFonts w:asciiTheme="minorHAnsi" w:hAnsiTheme="minorHAnsi" w:cstheme="minorHAnsi"/>
          <w:sz w:val="16"/>
          <w:szCs w:val="16"/>
        </w:rPr>
        <w:t>Ainda sob impactos influenciados pelo preço dos combustíveis, em especial a gasolina, a inflação mensal norte americana registrou uma elevação de 0,4% no mês de setembro, abaixo do salto de 0,6% em agosto, porém ainda acima do consenso de mercado que esperava 0,3%</w:t>
      </w:r>
    </w:p>
    <w:p w14:paraId="6909423C" w14:textId="77777777" w:rsidR="008557E5" w:rsidRPr="00664642" w:rsidRDefault="008557E5" w:rsidP="008557E5">
      <w:pPr>
        <w:spacing w:before="0" w:after="160" w:line="259" w:lineRule="auto"/>
        <w:ind w:firstLine="708"/>
        <w:jc w:val="center"/>
        <w:rPr>
          <w:rFonts w:asciiTheme="minorHAnsi" w:hAnsiTheme="minorHAnsi" w:cstheme="minorHAnsi"/>
          <w:sz w:val="16"/>
          <w:szCs w:val="16"/>
        </w:rPr>
      </w:pPr>
      <w:r w:rsidRPr="00664642">
        <w:rPr>
          <w:rFonts w:asciiTheme="minorHAnsi" w:hAnsiTheme="minorHAnsi" w:cstheme="minorHAnsi"/>
          <w:sz w:val="16"/>
          <w:szCs w:val="16"/>
        </w:rPr>
        <w:t>CPI mensal- Estados Unidos:</w:t>
      </w:r>
    </w:p>
    <w:p w14:paraId="233EF2E8"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noProof/>
          <w:sz w:val="16"/>
          <w:szCs w:val="16"/>
          <w:lang w:eastAsia="pt-BR"/>
        </w:rPr>
        <w:drawing>
          <wp:anchor distT="0" distB="0" distL="114300" distR="114300" simplePos="0" relativeHeight="251666432" behindDoc="0" locked="0" layoutInCell="1" allowOverlap="1" wp14:anchorId="3D3B3C50" wp14:editId="248592B8">
            <wp:simplePos x="0" y="0"/>
            <wp:positionH relativeFrom="column">
              <wp:posOffset>255270</wp:posOffset>
            </wp:positionH>
            <wp:positionV relativeFrom="paragraph">
              <wp:posOffset>59690</wp:posOffset>
            </wp:positionV>
            <wp:extent cx="4120515" cy="1823085"/>
            <wp:effectExtent l="0" t="0" r="0" b="5715"/>
            <wp:wrapSquare wrapText="bothSides"/>
            <wp:docPr id="1639307012" name="Picture 1" descr="A graph of a number of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307012" name="Picture 1" descr="A graph of a number of blue bars&#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4120515" cy="1823085"/>
                    </a:xfrm>
                    <a:prstGeom prst="rect">
                      <a:avLst/>
                    </a:prstGeom>
                  </pic:spPr>
                </pic:pic>
              </a:graphicData>
            </a:graphic>
            <wp14:sizeRelH relativeFrom="margin">
              <wp14:pctWidth>0</wp14:pctWidth>
            </wp14:sizeRelH>
            <wp14:sizeRelV relativeFrom="margin">
              <wp14:pctHeight>0</wp14:pctHeight>
            </wp14:sizeRelV>
          </wp:anchor>
        </w:drawing>
      </w:r>
      <w:r w:rsidRPr="00664642">
        <w:rPr>
          <w:rFonts w:asciiTheme="minorHAnsi" w:hAnsiTheme="minorHAnsi" w:cstheme="minorHAnsi"/>
          <w:i/>
          <w:sz w:val="16"/>
          <w:szCs w:val="16"/>
        </w:rPr>
        <w:t>Fonte: https://tradingeconomics.com/united-states/inflation-rate-mom</w:t>
      </w:r>
    </w:p>
    <w:p w14:paraId="40F97277" w14:textId="77777777" w:rsidR="008557E5" w:rsidRPr="00664642" w:rsidRDefault="008557E5" w:rsidP="008557E5">
      <w:pPr>
        <w:spacing w:before="0" w:after="160" w:line="259" w:lineRule="auto"/>
        <w:ind w:firstLine="708"/>
        <w:rPr>
          <w:rFonts w:asciiTheme="minorHAnsi" w:hAnsiTheme="minorHAnsi" w:cstheme="minorHAnsi"/>
          <w:sz w:val="16"/>
          <w:szCs w:val="16"/>
        </w:rPr>
      </w:pPr>
      <w:r w:rsidRPr="00664642">
        <w:rPr>
          <w:rFonts w:asciiTheme="minorHAnsi" w:hAnsiTheme="minorHAnsi" w:cstheme="minorHAnsi"/>
          <w:sz w:val="16"/>
          <w:szCs w:val="16"/>
        </w:rPr>
        <w:t>Na variação anual, o número permaneceu elevado no mesmo patamar de agosto, em 3,7% contra o consenso de 3,6%.</w:t>
      </w:r>
    </w:p>
    <w:p w14:paraId="3CA9244F" w14:textId="77777777" w:rsidR="008557E5" w:rsidRPr="00664642" w:rsidRDefault="008557E5" w:rsidP="008557E5">
      <w:pPr>
        <w:spacing w:before="0" w:after="160" w:line="259" w:lineRule="auto"/>
        <w:ind w:firstLine="708"/>
        <w:rPr>
          <w:rFonts w:asciiTheme="minorHAnsi" w:hAnsiTheme="minorHAnsi" w:cstheme="minorHAnsi"/>
          <w:sz w:val="16"/>
          <w:szCs w:val="16"/>
        </w:rPr>
      </w:pPr>
      <w:r w:rsidRPr="00664642">
        <w:rPr>
          <w:rFonts w:asciiTheme="minorHAnsi" w:hAnsiTheme="minorHAnsi" w:cstheme="minorHAnsi"/>
          <w:sz w:val="16"/>
          <w:szCs w:val="16"/>
        </w:rPr>
        <w:t>Além dos combustíveis, o preço da habitação, serviços de transporte, medicamentos, alimentos, e veículos contaram com uma significativa alta que contribuíram para o patamar ainda elevado acima da meta de 2% da economia americana.</w:t>
      </w:r>
    </w:p>
    <w:p w14:paraId="3FE2C5D0" w14:textId="77777777" w:rsidR="008557E5" w:rsidRPr="00664642" w:rsidRDefault="008557E5" w:rsidP="008557E5">
      <w:pPr>
        <w:spacing w:before="0" w:after="160" w:line="259" w:lineRule="auto"/>
        <w:ind w:firstLine="708"/>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lastRenderedPageBreak/>
        <w:drawing>
          <wp:anchor distT="0" distB="0" distL="114300" distR="114300" simplePos="0" relativeHeight="251667456" behindDoc="0" locked="0" layoutInCell="1" allowOverlap="1" wp14:anchorId="335A6586" wp14:editId="2DF5A6DD">
            <wp:simplePos x="0" y="0"/>
            <wp:positionH relativeFrom="column">
              <wp:posOffset>256540</wp:posOffset>
            </wp:positionH>
            <wp:positionV relativeFrom="paragraph">
              <wp:posOffset>300355</wp:posOffset>
            </wp:positionV>
            <wp:extent cx="5067739" cy="2225233"/>
            <wp:effectExtent l="0" t="0" r="0" b="3810"/>
            <wp:wrapSquare wrapText="bothSides"/>
            <wp:docPr id="961149958" name="Picture 1" descr="A graph of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149958" name="Picture 1" descr="A graph of blue bars&#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5067739" cy="2225233"/>
                    </a:xfrm>
                    <a:prstGeom prst="rect">
                      <a:avLst/>
                    </a:prstGeom>
                  </pic:spPr>
                </pic:pic>
              </a:graphicData>
            </a:graphic>
            <wp14:sizeRelH relativeFrom="margin">
              <wp14:pctWidth>0</wp14:pctWidth>
            </wp14:sizeRelH>
            <wp14:sizeRelV relativeFrom="margin">
              <wp14:pctHeight>0</wp14:pctHeight>
            </wp14:sizeRelV>
          </wp:anchor>
        </w:drawing>
      </w:r>
      <w:r w:rsidRPr="00664642">
        <w:rPr>
          <w:rFonts w:asciiTheme="minorHAnsi" w:hAnsiTheme="minorHAnsi" w:cstheme="minorHAnsi"/>
          <w:sz w:val="16"/>
          <w:szCs w:val="16"/>
        </w:rPr>
        <w:t>CPI anual - Estados Unidos:</w:t>
      </w:r>
    </w:p>
    <w:p w14:paraId="79CB919A"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https://tradingeconomics.com/united-states/inflation-cpi</w:t>
      </w:r>
    </w:p>
    <w:p w14:paraId="119DC75F" w14:textId="20BB024A" w:rsidR="008557E5" w:rsidRDefault="008557E5" w:rsidP="008557E5">
      <w:pPr>
        <w:spacing w:before="0" w:after="160" w:line="259" w:lineRule="auto"/>
        <w:ind w:firstLine="708"/>
        <w:rPr>
          <w:rFonts w:asciiTheme="minorHAnsi" w:hAnsiTheme="minorHAnsi" w:cstheme="minorHAnsi"/>
          <w:sz w:val="16"/>
          <w:szCs w:val="16"/>
        </w:rPr>
      </w:pPr>
      <w:r w:rsidRPr="00664642">
        <w:rPr>
          <w:rFonts w:asciiTheme="minorHAnsi" w:hAnsiTheme="minorHAnsi" w:cstheme="minorHAnsi"/>
          <w:sz w:val="16"/>
          <w:szCs w:val="16"/>
        </w:rPr>
        <w:t>Como citado, a cotação dos combustíveis, transmitido através dos preços do WTI (West Texas Intermediate), e do Brent (benchmark global) mostram a escalada de preços que o petróleo atinge no ano de 2023 com o aumento das tensões ao redor do mundo, superando os 90 dólares tanto o WTI quanto o Brent.</w:t>
      </w:r>
    </w:p>
    <w:p w14:paraId="415382C9" w14:textId="77777777" w:rsidR="00F06133" w:rsidRDefault="00F06133" w:rsidP="008557E5">
      <w:pPr>
        <w:spacing w:before="0" w:after="160" w:line="259" w:lineRule="auto"/>
        <w:ind w:firstLine="708"/>
        <w:rPr>
          <w:rFonts w:asciiTheme="minorHAnsi" w:hAnsiTheme="minorHAnsi" w:cstheme="minorHAnsi"/>
          <w:sz w:val="16"/>
          <w:szCs w:val="16"/>
        </w:rPr>
      </w:pPr>
    </w:p>
    <w:p w14:paraId="6CF635E4" w14:textId="77777777" w:rsidR="008557E5" w:rsidRPr="00664642" w:rsidRDefault="008557E5" w:rsidP="008557E5">
      <w:pPr>
        <w:spacing w:before="0" w:after="160" w:line="259" w:lineRule="auto"/>
        <w:ind w:firstLine="708"/>
        <w:jc w:val="center"/>
        <w:rPr>
          <w:rFonts w:asciiTheme="minorHAnsi" w:hAnsiTheme="minorHAnsi" w:cstheme="minorHAnsi"/>
          <w:sz w:val="16"/>
          <w:szCs w:val="16"/>
        </w:rPr>
      </w:pPr>
      <w:r w:rsidRPr="00664642">
        <w:rPr>
          <w:rFonts w:asciiTheme="minorHAnsi" w:hAnsiTheme="minorHAnsi" w:cstheme="minorHAnsi"/>
          <w:i/>
          <w:noProof/>
          <w:sz w:val="16"/>
          <w:szCs w:val="16"/>
          <w:lang w:eastAsia="pt-BR"/>
        </w:rPr>
        <w:drawing>
          <wp:anchor distT="0" distB="0" distL="114300" distR="114300" simplePos="0" relativeHeight="251669504" behindDoc="0" locked="0" layoutInCell="1" allowOverlap="1" wp14:anchorId="440F3650" wp14:editId="16A38696">
            <wp:simplePos x="0" y="0"/>
            <wp:positionH relativeFrom="column">
              <wp:posOffset>104140</wp:posOffset>
            </wp:positionH>
            <wp:positionV relativeFrom="paragraph">
              <wp:posOffset>302260</wp:posOffset>
            </wp:positionV>
            <wp:extent cx="5502117" cy="3071126"/>
            <wp:effectExtent l="0" t="0" r="3810" b="0"/>
            <wp:wrapSquare wrapText="bothSides"/>
            <wp:docPr id="713308537" name="Picture 1" descr="A graph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308537" name="Picture 1" descr="A graph with blue line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502117" cy="3071126"/>
                    </a:xfrm>
                    <a:prstGeom prst="rect">
                      <a:avLst/>
                    </a:prstGeom>
                  </pic:spPr>
                </pic:pic>
              </a:graphicData>
            </a:graphic>
          </wp:anchor>
        </w:drawing>
      </w:r>
      <w:r w:rsidRPr="00664642">
        <w:rPr>
          <w:rFonts w:asciiTheme="minorHAnsi" w:hAnsiTheme="minorHAnsi" w:cstheme="minorHAnsi"/>
          <w:sz w:val="16"/>
          <w:szCs w:val="16"/>
        </w:rPr>
        <w:t>Cotação - Petróleo WTI:</w:t>
      </w:r>
    </w:p>
    <w:p w14:paraId="3C7E5660" w14:textId="77777777" w:rsidR="008557E5"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 xml:space="preserve">Fonte: </w:t>
      </w:r>
      <w:hyperlink r:id="rId17" w:history="1">
        <w:r w:rsidRPr="007F143F">
          <w:rPr>
            <w:rStyle w:val="Hyperlink"/>
            <w:rFonts w:asciiTheme="minorHAnsi" w:hAnsiTheme="minorHAnsi" w:cstheme="minorHAnsi"/>
            <w:i/>
            <w:sz w:val="16"/>
            <w:szCs w:val="16"/>
          </w:rPr>
          <w:t>https://tradingeconomics.com/commodity/crude-oil</w:t>
        </w:r>
      </w:hyperlink>
    </w:p>
    <w:p w14:paraId="55C4861A"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lastRenderedPageBreak/>
        <w:drawing>
          <wp:anchor distT="0" distB="0" distL="114300" distR="114300" simplePos="0" relativeHeight="251668480" behindDoc="0" locked="0" layoutInCell="1" allowOverlap="1" wp14:anchorId="1A6EF512" wp14:editId="2DBC7F71">
            <wp:simplePos x="0" y="0"/>
            <wp:positionH relativeFrom="column">
              <wp:posOffset>27940</wp:posOffset>
            </wp:positionH>
            <wp:positionV relativeFrom="paragraph">
              <wp:posOffset>271780</wp:posOffset>
            </wp:positionV>
            <wp:extent cx="5524979" cy="3063505"/>
            <wp:effectExtent l="0" t="0" r="0" b="3810"/>
            <wp:wrapSquare wrapText="bothSides"/>
            <wp:docPr id="1412647394" name="Picture 1" descr="A graph of a stock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647394" name="Picture 1" descr="A graph of a stock marke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524979" cy="3063505"/>
                    </a:xfrm>
                    <a:prstGeom prst="rect">
                      <a:avLst/>
                    </a:prstGeom>
                  </pic:spPr>
                </pic:pic>
              </a:graphicData>
            </a:graphic>
          </wp:anchor>
        </w:drawing>
      </w:r>
      <w:r w:rsidRPr="00664642">
        <w:rPr>
          <w:rFonts w:asciiTheme="minorHAnsi" w:hAnsiTheme="minorHAnsi" w:cstheme="minorHAnsi"/>
          <w:sz w:val="16"/>
          <w:szCs w:val="16"/>
        </w:rPr>
        <w:t>Cotação - Petróleo Brent:</w:t>
      </w:r>
    </w:p>
    <w:p w14:paraId="6F597C7E"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https://tradingeconomics.com/commodity/brent-crude-oil</w:t>
      </w:r>
    </w:p>
    <w:p w14:paraId="5709E0F0" w14:textId="77777777" w:rsidR="008557E5" w:rsidRPr="00664642" w:rsidRDefault="008557E5" w:rsidP="008557E5">
      <w:pPr>
        <w:spacing w:before="0" w:after="160" w:line="259" w:lineRule="auto"/>
        <w:ind w:firstLine="708"/>
        <w:rPr>
          <w:rFonts w:asciiTheme="minorHAnsi" w:hAnsiTheme="minorHAnsi" w:cstheme="minorHAnsi"/>
          <w:sz w:val="16"/>
          <w:szCs w:val="16"/>
        </w:rPr>
      </w:pPr>
      <w:r w:rsidRPr="00664642">
        <w:rPr>
          <w:rFonts w:asciiTheme="minorHAnsi" w:hAnsiTheme="minorHAnsi" w:cstheme="minorHAnsi"/>
          <w:sz w:val="16"/>
          <w:szCs w:val="16"/>
        </w:rPr>
        <w:t>E com mais atenção do que o dado cheio da inflação, temos o tão importante núcleo inflacionário que registra queda sequencial desde março de 2023, atingindo o patamar de 4,1% em setembro, versus 4,3% em agosto, 4,7% em julho, e em linha com as expectativas de mercado que sinalizavam 4,1% para o mês. Porém essa trajetória ainda que em rumos de queda, ainda, como já citado, permanece em patamares bem superiores aos 2% desejados pelo governo dos Estados Unidos.</w:t>
      </w:r>
    </w:p>
    <w:p w14:paraId="31073812" w14:textId="77777777" w:rsidR="008557E5" w:rsidRPr="00664642" w:rsidRDefault="008557E5" w:rsidP="008557E5">
      <w:pPr>
        <w:spacing w:before="0" w:after="160" w:line="259" w:lineRule="auto"/>
        <w:ind w:firstLine="708"/>
        <w:rPr>
          <w:rFonts w:asciiTheme="minorHAnsi" w:hAnsiTheme="minorHAnsi" w:cstheme="minorHAnsi"/>
          <w:sz w:val="16"/>
          <w:szCs w:val="16"/>
        </w:rPr>
      </w:pPr>
      <w:r w:rsidRPr="00664642">
        <w:rPr>
          <w:rFonts w:asciiTheme="minorHAnsi" w:hAnsiTheme="minorHAnsi" w:cstheme="minorHAnsi"/>
          <w:sz w:val="16"/>
          <w:szCs w:val="16"/>
        </w:rPr>
        <w:t>Como já citado em outros relatórios, os membros do Federal Reserve, em especial do presidente Jerome Powell, sinalizam constantemente que a inflação é um ponto crucial para que o principal banco central global possa adotar uma política menos dura em sua maneira de conduzir a política monetária.</w:t>
      </w:r>
    </w:p>
    <w:p w14:paraId="7CFEDF0E"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Juros</w:t>
      </w:r>
    </w:p>
    <w:p w14:paraId="58C01817" w14:textId="77777777" w:rsidR="008557E5" w:rsidRPr="00664642" w:rsidRDefault="008557E5" w:rsidP="008557E5">
      <w:pPr>
        <w:spacing w:before="0" w:after="160" w:line="259" w:lineRule="auto"/>
        <w:ind w:firstLine="708"/>
        <w:rPr>
          <w:rFonts w:asciiTheme="minorHAnsi" w:hAnsiTheme="minorHAnsi" w:cstheme="minorHAnsi"/>
          <w:sz w:val="16"/>
          <w:szCs w:val="16"/>
        </w:rPr>
      </w:pPr>
      <w:r w:rsidRPr="00664642">
        <w:rPr>
          <w:rFonts w:asciiTheme="minorHAnsi" w:hAnsiTheme="minorHAnsi" w:cstheme="minorHAnsi"/>
          <w:sz w:val="16"/>
          <w:szCs w:val="16"/>
        </w:rPr>
        <w:t>Na “super quarta” do dia 20 de setembro, o Federal Reserve optou pela manutenção da taxa de juros em até 5,5% ao ano. Porém através dos discursos posteriores, foi notado a intenção de perseverar esse patamar de juro por um período mais longo do que inicialmente planejado, e ainda não descartado uma nova elevação de 25 pontos base, para até 5,75% ao ano.</w:t>
      </w:r>
    </w:p>
    <w:p w14:paraId="5C691BDF" w14:textId="77777777" w:rsidR="008557E5" w:rsidRPr="00664642" w:rsidRDefault="008557E5" w:rsidP="008557E5">
      <w:pPr>
        <w:spacing w:before="0" w:after="160" w:line="259" w:lineRule="auto"/>
        <w:ind w:firstLine="708"/>
        <w:rPr>
          <w:rFonts w:asciiTheme="minorHAnsi" w:hAnsiTheme="minorHAnsi" w:cstheme="minorHAnsi"/>
          <w:sz w:val="16"/>
          <w:szCs w:val="16"/>
          <w:highlight w:val="yellow"/>
        </w:rPr>
      </w:pPr>
      <w:r w:rsidRPr="00664642">
        <w:rPr>
          <w:rFonts w:asciiTheme="minorHAnsi" w:hAnsiTheme="minorHAnsi" w:cstheme="minorHAnsi"/>
          <w:sz w:val="16"/>
          <w:szCs w:val="16"/>
        </w:rPr>
        <w:t>Por enquanto, seguimos com a Fed Founds Rate na janela entre 5,25% e 5,5%.</w:t>
      </w:r>
    </w:p>
    <w:p w14:paraId="475F1AF8"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59264" behindDoc="0" locked="0" layoutInCell="1" allowOverlap="1" wp14:anchorId="3371EBF7" wp14:editId="34763B5F">
            <wp:simplePos x="0" y="0"/>
            <wp:positionH relativeFrom="margin">
              <wp:align>left</wp:align>
            </wp:positionH>
            <wp:positionV relativeFrom="paragraph">
              <wp:posOffset>327025</wp:posOffset>
            </wp:positionV>
            <wp:extent cx="4244975" cy="2053590"/>
            <wp:effectExtent l="0" t="0" r="3175" b="3810"/>
            <wp:wrapTopAndBottom/>
            <wp:docPr id="579786608" name="Picture 1" descr="A graph showing a line going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786608" name="Picture 1" descr="A graph showing a line going up&#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253968" cy="2057952"/>
                    </a:xfrm>
                    <a:prstGeom prst="rect">
                      <a:avLst/>
                    </a:prstGeom>
                  </pic:spPr>
                </pic:pic>
              </a:graphicData>
            </a:graphic>
            <wp14:sizeRelH relativeFrom="margin">
              <wp14:pctWidth>0</wp14:pctWidth>
            </wp14:sizeRelH>
            <wp14:sizeRelV relativeFrom="margin">
              <wp14:pctHeight>0</wp14:pctHeight>
            </wp14:sizeRelV>
          </wp:anchor>
        </w:drawing>
      </w:r>
      <w:r w:rsidRPr="00664642">
        <w:rPr>
          <w:rFonts w:asciiTheme="minorHAnsi" w:hAnsiTheme="minorHAnsi" w:cstheme="minorHAnsi"/>
          <w:sz w:val="16"/>
          <w:szCs w:val="16"/>
        </w:rPr>
        <w:t>Taxa de Juros – Estados Unidos</w:t>
      </w:r>
    </w:p>
    <w:p w14:paraId="269A7795" w14:textId="312BDBD9" w:rsidR="008557E5"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 xml:space="preserve">Fonte: </w:t>
      </w:r>
      <w:hyperlink r:id="rId20" w:history="1">
        <w:r w:rsidR="00F06133" w:rsidRPr="000563A2">
          <w:rPr>
            <w:rStyle w:val="Hyperlink"/>
            <w:rFonts w:asciiTheme="minorHAnsi" w:hAnsiTheme="minorHAnsi" w:cstheme="minorHAnsi"/>
            <w:i/>
            <w:sz w:val="16"/>
            <w:szCs w:val="16"/>
          </w:rPr>
          <w:t>https://tradingeconomics.com/united-states/interest-rate</w:t>
        </w:r>
      </w:hyperlink>
    </w:p>
    <w:p w14:paraId="508AB21F"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PMI</w:t>
      </w:r>
    </w:p>
    <w:p w14:paraId="73E025BA" w14:textId="77777777" w:rsidR="008557E5" w:rsidRPr="00664642" w:rsidRDefault="008557E5" w:rsidP="008557E5">
      <w:pPr>
        <w:rPr>
          <w:rFonts w:asciiTheme="minorHAnsi" w:hAnsiTheme="minorHAnsi" w:cstheme="minorHAnsi"/>
          <w:sz w:val="16"/>
          <w:szCs w:val="16"/>
          <w:highlight w:val="yellow"/>
        </w:rPr>
      </w:pPr>
      <w:r w:rsidRPr="00664642">
        <w:rPr>
          <w:rFonts w:asciiTheme="minorHAnsi" w:hAnsiTheme="minorHAnsi" w:cstheme="minorHAnsi"/>
          <w:sz w:val="16"/>
          <w:szCs w:val="16"/>
        </w:rPr>
        <w:t>Ainda que em retração, o PMI de serviços dos Estados Unidos permaneceu em setembro, no campo positivo marcando 50,10 pontos, ante 50,50 de agosto.</w:t>
      </w:r>
    </w:p>
    <w:p w14:paraId="791441EF"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sz w:val="16"/>
          <w:szCs w:val="16"/>
        </w:rPr>
        <w:lastRenderedPageBreak/>
        <w:t>PMI Serviços - Estados Unidos:</w:t>
      </w:r>
    </w:p>
    <w:p w14:paraId="19326749"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inline distT="0" distB="0" distL="0" distR="0" wp14:anchorId="36D080C8" wp14:editId="77E94741">
            <wp:extent cx="3806042" cy="1856606"/>
            <wp:effectExtent l="0" t="0" r="4445" b="0"/>
            <wp:docPr id="1284251602" name="Picture 1" descr="A graph of a number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251602" name="Picture 1" descr="A graph of a number of blue bars&#10;&#10;Description automatically generated"/>
                    <pic:cNvPicPr/>
                  </pic:nvPicPr>
                  <pic:blipFill>
                    <a:blip r:embed="rId21"/>
                    <a:stretch>
                      <a:fillRect/>
                    </a:stretch>
                  </pic:blipFill>
                  <pic:spPr>
                    <a:xfrm>
                      <a:off x="0" y="0"/>
                      <a:ext cx="3815333" cy="1861138"/>
                    </a:xfrm>
                    <a:prstGeom prst="rect">
                      <a:avLst/>
                    </a:prstGeom>
                  </pic:spPr>
                </pic:pic>
              </a:graphicData>
            </a:graphic>
          </wp:inline>
        </w:drawing>
      </w:r>
    </w:p>
    <w:p w14:paraId="3DB11FEE"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https://tradingeconomics.com/united-states/services-pmi</w:t>
      </w:r>
    </w:p>
    <w:p w14:paraId="4F22C115"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Já o PMI industrial em setembro, apresentou uma leve recuperação em relação ao mês anterior, se aproximando da pontuação neutra, atingindo 49,80 pontos. O dado de agosto era de 47,90 pontos.</w:t>
      </w:r>
    </w:p>
    <w:p w14:paraId="03561162"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sz w:val="16"/>
          <w:szCs w:val="16"/>
        </w:rPr>
        <w:t>PMI Manufatura – Estados Unidos:</w:t>
      </w:r>
    </w:p>
    <w:p w14:paraId="17E58C69" w14:textId="36562D32" w:rsidR="008557E5"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 xml:space="preserve">Fonte: </w:t>
      </w:r>
      <w:hyperlink r:id="rId22" w:history="1">
        <w:r w:rsidR="00F06133" w:rsidRPr="000563A2">
          <w:rPr>
            <w:rStyle w:val="Hyperlink"/>
            <w:rFonts w:asciiTheme="minorHAnsi" w:hAnsiTheme="minorHAnsi" w:cstheme="minorHAnsi"/>
            <w:i/>
            <w:sz w:val="16"/>
            <w:szCs w:val="16"/>
          </w:rPr>
          <w:t>https://tradingeconomics.com/united-states/manufacturing-pmi</w:t>
        </w:r>
      </w:hyperlink>
    </w:p>
    <w:p w14:paraId="4745300D" w14:textId="77777777" w:rsidR="00F06133" w:rsidRPr="00664642" w:rsidRDefault="00F06133" w:rsidP="008557E5">
      <w:pPr>
        <w:rPr>
          <w:rFonts w:asciiTheme="minorHAnsi" w:hAnsiTheme="minorHAnsi" w:cstheme="minorHAnsi"/>
          <w:i/>
          <w:sz w:val="16"/>
          <w:szCs w:val="16"/>
        </w:rPr>
      </w:pPr>
    </w:p>
    <w:p w14:paraId="5C484746"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70528" behindDoc="0" locked="0" layoutInCell="1" allowOverlap="1" wp14:anchorId="4B5F7735" wp14:editId="612112CB">
            <wp:simplePos x="0" y="0"/>
            <wp:positionH relativeFrom="column">
              <wp:posOffset>332740</wp:posOffset>
            </wp:positionH>
            <wp:positionV relativeFrom="paragraph">
              <wp:posOffset>161290</wp:posOffset>
            </wp:positionV>
            <wp:extent cx="4102735" cy="1979930"/>
            <wp:effectExtent l="0" t="0" r="0" b="1270"/>
            <wp:wrapSquare wrapText="bothSides"/>
            <wp:docPr id="1195609527" name="Picture 1"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609527" name="Picture 1" descr="A graph of a graph&#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4102735" cy="1979930"/>
                    </a:xfrm>
                    <a:prstGeom prst="rect">
                      <a:avLst/>
                    </a:prstGeom>
                  </pic:spPr>
                </pic:pic>
              </a:graphicData>
            </a:graphic>
            <wp14:sizeRelH relativeFrom="margin">
              <wp14:pctWidth>0</wp14:pctWidth>
            </wp14:sizeRelH>
            <wp14:sizeRelV relativeFrom="margin">
              <wp14:pctHeight>0</wp14:pctHeight>
            </wp14:sizeRelV>
          </wp:anchor>
        </w:drawing>
      </w:r>
      <w:r w:rsidRPr="00664642">
        <w:rPr>
          <w:rFonts w:asciiTheme="minorHAnsi" w:hAnsiTheme="minorHAnsi" w:cstheme="minorHAnsi"/>
          <w:sz w:val="16"/>
          <w:szCs w:val="16"/>
        </w:rPr>
        <w:t>Por fim, o índice composto ficou muito próximo do neutro, replicando a medição de agosto em 50,20.</w:t>
      </w:r>
    </w:p>
    <w:p w14:paraId="5BE32BEF" w14:textId="77777777" w:rsidR="008557E5" w:rsidRPr="00664642" w:rsidRDefault="008557E5" w:rsidP="008557E5">
      <w:pPr>
        <w:rPr>
          <w:rFonts w:asciiTheme="minorHAnsi" w:hAnsiTheme="minorHAnsi" w:cstheme="minorHAnsi"/>
          <w:sz w:val="16"/>
          <w:szCs w:val="16"/>
          <w:highlight w:val="yellow"/>
        </w:rPr>
      </w:pPr>
    </w:p>
    <w:p w14:paraId="3519520E" w14:textId="77777777" w:rsidR="008557E5" w:rsidRDefault="008557E5" w:rsidP="008557E5">
      <w:pPr>
        <w:spacing w:before="0" w:after="160" w:line="259" w:lineRule="auto"/>
        <w:jc w:val="left"/>
        <w:rPr>
          <w:rFonts w:asciiTheme="minorHAnsi" w:hAnsiTheme="minorHAnsi" w:cstheme="minorHAnsi"/>
          <w:sz w:val="16"/>
          <w:szCs w:val="16"/>
          <w:highlight w:val="yellow"/>
        </w:rPr>
      </w:pPr>
    </w:p>
    <w:p w14:paraId="276DC1F2" w14:textId="77777777" w:rsidR="008557E5" w:rsidRDefault="008557E5" w:rsidP="008557E5">
      <w:pPr>
        <w:spacing w:before="0" w:after="160" w:line="259" w:lineRule="auto"/>
        <w:jc w:val="left"/>
        <w:rPr>
          <w:rFonts w:asciiTheme="minorHAnsi" w:hAnsiTheme="minorHAnsi" w:cstheme="minorHAnsi"/>
          <w:sz w:val="16"/>
          <w:szCs w:val="16"/>
          <w:highlight w:val="yellow"/>
        </w:rPr>
      </w:pPr>
    </w:p>
    <w:p w14:paraId="38B6391B" w14:textId="77777777" w:rsidR="008557E5" w:rsidRDefault="008557E5" w:rsidP="008557E5">
      <w:pPr>
        <w:spacing w:before="0" w:after="160" w:line="259" w:lineRule="auto"/>
        <w:jc w:val="left"/>
        <w:rPr>
          <w:rFonts w:asciiTheme="minorHAnsi" w:hAnsiTheme="minorHAnsi" w:cstheme="minorHAnsi"/>
          <w:sz w:val="16"/>
          <w:szCs w:val="16"/>
          <w:highlight w:val="yellow"/>
        </w:rPr>
      </w:pPr>
    </w:p>
    <w:p w14:paraId="41B992A1" w14:textId="77777777" w:rsidR="008557E5" w:rsidRDefault="008557E5" w:rsidP="008557E5">
      <w:pPr>
        <w:spacing w:before="0" w:after="160" w:line="259" w:lineRule="auto"/>
        <w:jc w:val="left"/>
        <w:rPr>
          <w:rFonts w:asciiTheme="minorHAnsi" w:hAnsiTheme="minorHAnsi" w:cstheme="minorHAnsi"/>
          <w:sz w:val="16"/>
          <w:szCs w:val="16"/>
          <w:highlight w:val="yellow"/>
        </w:rPr>
      </w:pPr>
    </w:p>
    <w:p w14:paraId="073B11D1" w14:textId="77777777" w:rsidR="008557E5" w:rsidRDefault="008557E5" w:rsidP="008557E5">
      <w:pPr>
        <w:spacing w:before="0" w:after="160" w:line="259" w:lineRule="auto"/>
        <w:jc w:val="left"/>
        <w:rPr>
          <w:rFonts w:asciiTheme="minorHAnsi" w:hAnsiTheme="minorHAnsi" w:cstheme="minorHAnsi"/>
          <w:sz w:val="16"/>
          <w:szCs w:val="16"/>
          <w:highlight w:val="yellow"/>
        </w:rPr>
      </w:pPr>
    </w:p>
    <w:p w14:paraId="002744EA" w14:textId="77777777" w:rsidR="008557E5" w:rsidRDefault="008557E5" w:rsidP="008557E5">
      <w:pPr>
        <w:spacing w:before="0" w:after="160" w:line="259" w:lineRule="auto"/>
        <w:jc w:val="left"/>
        <w:rPr>
          <w:rFonts w:asciiTheme="minorHAnsi" w:hAnsiTheme="minorHAnsi" w:cstheme="minorHAnsi"/>
          <w:sz w:val="16"/>
          <w:szCs w:val="16"/>
          <w:highlight w:val="yellow"/>
        </w:rPr>
      </w:pPr>
    </w:p>
    <w:p w14:paraId="7D8B6B25" w14:textId="77777777" w:rsidR="008557E5" w:rsidRDefault="008557E5" w:rsidP="008557E5">
      <w:pPr>
        <w:spacing w:before="0" w:after="160" w:line="259" w:lineRule="auto"/>
        <w:jc w:val="left"/>
        <w:rPr>
          <w:rFonts w:asciiTheme="minorHAnsi" w:hAnsiTheme="minorHAnsi" w:cstheme="minorHAnsi"/>
          <w:sz w:val="16"/>
          <w:szCs w:val="16"/>
          <w:highlight w:val="yellow"/>
        </w:rPr>
      </w:pPr>
    </w:p>
    <w:p w14:paraId="689A55BD" w14:textId="77777777" w:rsidR="008557E5" w:rsidRDefault="008557E5" w:rsidP="008557E5">
      <w:pPr>
        <w:jc w:val="center"/>
        <w:rPr>
          <w:rFonts w:asciiTheme="minorHAnsi" w:hAnsiTheme="minorHAnsi" w:cstheme="minorHAnsi"/>
          <w:sz w:val="16"/>
          <w:szCs w:val="16"/>
        </w:rPr>
      </w:pPr>
      <w:r w:rsidRPr="00664642">
        <w:rPr>
          <w:rFonts w:asciiTheme="minorHAnsi" w:hAnsiTheme="minorHAnsi" w:cstheme="minorHAnsi"/>
          <w:sz w:val="16"/>
          <w:szCs w:val="16"/>
        </w:rPr>
        <w:t>PMI Composto – Estados Unidos:</w:t>
      </w:r>
    </w:p>
    <w:p w14:paraId="03D82016"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inline distT="0" distB="0" distL="0" distR="0" wp14:anchorId="7A2511AA" wp14:editId="7B239007">
            <wp:extent cx="3259777" cy="1587715"/>
            <wp:effectExtent l="0" t="0" r="0" b="0"/>
            <wp:docPr id="1988689392" name="Picture 1" descr="A graph of a number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689392" name="Picture 1" descr="A graph of a number of blue bars&#10;&#10;Description automatically generated"/>
                    <pic:cNvPicPr/>
                  </pic:nvPicPr>
                  <pic:blipFill>
                    <a:blip r:embed="rId24"/>
                    <a:stretch>
                      <a:fillRect/>
                    </a:stretch>
                  </pic:blipFill>
                  <pic:spPr>
                    <a:xfrm>
                      <a:off x="0" y="0"/>
                      <a:ext cx="3264461" cy="1589996"/>
                    </a:xfrm>
                    <a:prstGeom prst="rect">
                      <a:avLst/>
                    </a:prstGeom>
                  </pic:spPr>
                </pic:pic>
              </a:graphicData>
            </a:graphic>
          </wp:inline>
        </w:drawing>
      </w:r>
    </w:p>
    <w:p w14:paraId="1553991A"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https://tradingeconomics.com/united-states/composite-pmi</w:t>
      </w:r>
    </w:p>
    <w:p w14:paraId="43253B42"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Falando sobre o mercado acionário, o temor sob as incertezas do rumo monetário e fiscal, e a pressão sob a curva de juros tragaram as bolsas do mercado americano para baixo em setembro. O índice S&amp;P 500 fechou o mês com queda em torno dos -5%. O índice Nasdaq seguiu o mesmo ritmo, com queda próxima aos -6% no mês.</w:t>
      </w:r>
    </w:p>
    <w:p w14:paraId="065F3164"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sz w:val="16"/>
          <w:szCs w:val="16"/>
        </w:rPr>
        <w:t>Índice S&amp;P 500:</w:t>
      </w:r>
    </w:p>
    <w:p w14:paraId="0CF677B6" w14:textId="77777777" w:rsidR="008557E5" w:rsidRPr="00664642" w:rsidRDefault="008557E5" w:rsidP="008557E5">
      <w:pPr>
        <w:rPr>
          <w:rFonts w:asciiTheme="minorHAnsi" w:hAnsiTheme="minorHAnsi" w:cstheme="minorHAnsi"/>
          <w:i/>
          <w:iCs/>
          <w:sz w:val="16"/>
          <w:szCs w:val="16"/>
        </w:rPr>
      </w:pPr>
      <w:r w:rsidRPr="00664642">
        <w:rPr>
          <w:rFonts w:asciiTheme="minorHAnsi" w:hAnsiTheme="minorHAnsi" w:cstheme="minorHAnsi"/>
          <w:i/>
          <w:iCs/>
          <w:sz w:val="16"/>
          <w:szCs w:val="16"/>
        </w:rPr>
        <w:lastRenderedPageBreak/>
        <w:t>fonte: https://tradingeconomics.com/spx:ind</w:t>
      </w:r>
    </w:p>
    <w:p w14:paraId="665B454D" w14:textId="77777777" w:rsidR="008557E5" w:rsidRPr="00664642" w:rsidRDefault="008557E5" w:rsidP="008557E5">
      <w:pPr>
        <w:rPr>
          <w:rFonts w:asciiTheme="minorHAnsi" w:hAnsiTheme="minorHAnsi" w:cstheme="minorHAnsi"/>
          <w:sz w:val="16"/>
          <w:szCs w:val="16"/>
          <w:highlight w:val="yellow"/>
        </w:rPr>
      </w:pPr>
    </w:p>
    <w:p w14:paraId="567E800D" w14:textId="77777777" w:rsidR="008557E5" w:rsidRPr="00664642" w:rsidRDefault="008557E5" w:rsidP="008557E5">
      <w:pPr>
        <w:rPr>
          <w:rFonts w:asciiTheme="minorHAnsi" w:hAnsiTheme="minorHAnsi" w:cstheme="minorHAnsi"/>
          <w:sz w:val="16"/>
          <w:szCs w:val="16"/>
          <w:highlight w:val="yellow"/>
        </w:rPr>
      </w:pPr>
      <w:r w:rsidRPr="00664642">
        <w:rPr>
          <w:rFonts w:asciiTheme="minorHAnsi" w:hAnsiTheme="minorHAnsi" w:cstheme="minorHAnsi"/>
          <w:noProof/>
          <w:sz w:val="16"/>
          <w:szCs w:val="16"/>
          <w:lang w:eastAsia="pt-BR"/>
        </w:rPr>
        <w:drawing>
          <wp:anchor distT="0" distB="0" distL="114300" distR="114300" simplePos="0" relativeHeight="251671552" behindDoc="0" locked="0" layoutInCell="1" allowOverlap="1" wp14:anchorId="1E5964B1" wp14:editId="66788F6C">
            <wp:simplePos x="0" y="0"/>
            <wp:positionH relativeFrom="column">
              <wp:posOffset>71755</wp:posOffset>
            </wp:positionH>
            <wp:positionV relativeFrom="paragraph">
              <wp:posOffset>147955</wp:posOffset>
            </wp:positionV>
            <wp:extent cx="4239260" cy="1650365"/>
            <wp:effectExtent l="0" t="0" r="8890" b="6985"/>
            <wp:wrapSquare wrapText="bothSides"/>
            <wp:docPr id="1959642965" name="Picture 1" descr="A graph showing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642965" name="Picture 1" descr="A graph showing a line&#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239260" cy="1650365"/>
                    </a:xfrm>
                    <a:prstGeom prst="rect">
                      <a:avLst/>
                    </a:prstGeom>
                  </pic:spPr>
                </pic:pic>
              </a:graphicData>
            </a:graphic>
            <wp14:sizeRelH relativeFrom="margin">
              <wp14:pctWidth>0</wp14:pctWidth>
            </wp14:sizeRelH>
            <wp14:sizeRelV relativeFrom="margin">
              <wp14:pctHeight>0</wp14:pctHeight>
            </wp14:sizeRelV>
          </wp:anchor>
        </w:drawing>
      </w:r>
    </w:p>
    <w:p w14:paraId="4E034DD6" w14:textId="77777777" w:rsidR="008557E5" w:rsidRDefault="008557E5" w:rsidP="008557E5">
      <w:pPr>
        <w:spacing w:before="0" w:after="160" w:line="259" w:lineRule="auto"/>
        <w:jc w:val="left"/>
        <w:rPr>
          <w:rFonts w:asciiTheme="minorHAnsi" w:hAnsiTheme="minorHAnsi" w:cstheme="minorHAnsi"/>
          <w:b/>
          <w:color w:val="auto"/>
          <w:sz w:val="16"/>
          <w:szCs w:val="16"/>
        </w:rPr>
      </w:pPr>
    </w:p>
    <w:p w14:paraId="6FCDDFC9" w14:textId="77777777" w:rsidR="008557E5" w:rsidRDefault="008557E5" w:rsidP="008557E5">
      <w:pPr>
        <w:spacing w:before="0" w:after="160" w:line="259" w:lineRule="auto"/>
        <w:jc w:val="left"/>
        <w:rPr>
          <w:rFonts w:asciiTheme="minorHAnsi" w:hAnsiTheme="minorHAnsi" w:cstheme="minorHAnsi"/>
          <w:b/>
          <w:color w:val="auto"/>
          <w:sz w:val="16"/>
          <w:szCs w:val="16"/>
        </w:rPr>
      </w:pPr>
    </w:p>
    <w:p w14:paraId="480F0214" w14:textId="77777777" w:rsidR="008557E5" w:rsidRDefault="008557E5" w:rsidP="008557E5">
      <w:pPr>
        <w:spacing w:before="0" w:after="160" w:line="259" w:lineRule="auto"/>
        <w:jc w:val="left"/>
        <w:rPr>
          <w:rFonts w:asciiTheme="minorHAnsi" w:hAnsiTheme="minorHAnsi" w:cstheme="minorHAnsi"/>
          <w:b/>
          <w:color w:val="auto"/>
          <w:sz w:val="16"/>
          <w:szCs w:val="16"/>
        </w:rPr>
      </w:pPr>
    </w:p>
    <w:p w14:paraId="02CF8E03" w14:textId="77777777" w:rsidR="008557E5" w:rsidRDefault="008557E5" w:rsidP="008557E5">
      <w:pPr>
        <w:spacing w:before="0" w:after="160" w:line="259" w:lineRule="auto"/>
        <w:jc w:val="left"/>
        <w:rPr>
          <w:rFonts w:asciiTheme="minorHAnsi" w:hAnsiTheme="minorHAnsi" w:cstheme="minorHAnsi"/>
          <w:b/>
          <w:color w:val="auto"/>
          <w:sz w:val="16"/>
          <w:szCs w:val="16"/>
        </w:rPr>
      </w:pPr>
    </w:p>
    <w:p w14:paraId="6F87CD46" w14:textId="77777777" w:rsidR="008557E5" w:rsidRDefault="008557E5" w:rsidP="008557E5">
      <w:pPr>
        <w:spacing w:before="0" w:after="160" w:line="259" w:lineRule="auto"/>
        <w:jc w:val="left"/>
        <w:rPr>
          <w:rFonts w:asciiTheme="minorHAnsi" w:hAnsiTheme="minorHAnsi" w:cstheme="minorHAnsi"/>
          <w:b/>
          <w:color w:val="auto"/>
          <w:sz w:val="16"/>
          <w:szCs w:val="16"/>
        </w:rPr>
      </w:pPr>
    </w:p>
    <w:p w14:paraId="47DADB83" w14:textId="77777777" w:rsidR="008557E5" w:rsidRDefault="008557E5" w:rsidP="008557E5">
      <w:pPr>
        <w:spacing w:before="0" w:after="160" w:line="259" w:lineRule="auto"/>
        <w:jc w:val="left"/>
        <w:rPr>
          <w:rFonts w:asciiTheme="minorHAnsi" w:hAnsiTheme="minorHAnsi" w:cstheme="minorHAnsi"/>
          <w:b/>
          <w:color w:val="auto"/>
          <w:sz w:val="16"/>
          <w:szCs w:val="16"/>
        </w:rPr>
      </w:pPr>
    </w:p>
    <w:p w14:paraId="3223FC58" w14:textId="77777777" w:rsidR="008557E5" w:rsidRDefault="008557E5" w:rsidP="008557E5">
      <w:pPr>
        <w:spacing w:before="0" w:after="160" w:line="259" w:lineRule="auto"/>
        <w:jc w:val="left"/>
        <w:rPr>
          <w:rFonts w:asciiTheme="minorHAnsi" w:hAnsiTheme="minorHAnsi" w:cstheme="minorHAnsi"/>
          <w:b/>
          <w:color w:val="auto"/>
          <w:sz w:val="16"/>
          <w:szCs w:val="16"/>
        </w:rPr>
      </w:pPr>
    </w:p>
    <w:p w14:paraId="299487F3" w14:textId="77777777" w:rsidR="008557E5" w:rsidRPr="00664642" w:rsidRDefault="008557E5" w:rsidP="008557E5">
      <w:pPr>
        <w:rPr>
          <w:rFonts w:asciiTheme="minorHAnsi" w:hAnsiTheme="minorHAnsi" w:cstheme="minorHAnsi"/>
          <w:b/>
          <w:color w:val="auto"/>
          <w:sz w:val="16"/>
          <w:szCs w:val="16"/>
        </w:rPr>
      </w:pPr>
      <w:r w:rsidRPr="00664642">
        <w:rPr>
          <w:rFonts w:asciiTheme="minorHAnsi" w:hAnsiTheme="minorHAnsi" w:cstheme="minorHAnsi"/>
          <w:b/>
          <w:color w:val="auto"/>
          <w:sz w:val="16"/>
          <w:szCs w:val="16"/>
        </w:rPr>
        <w:t>Zona do Euro</w:t>
      </w:r>
    </w:p>
    <w:p w14:paraId="42302FCC"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Inflação</w:t>
      </w:r>
    </w:p>
    <w:p w14:paraId="4DA679A1" w14:textId="77777777" w:rsidR="008557E5" w:rsidRPr="00664642" w:rsidRDefault="008557E5" w:rsidP="008557E5">
      <w:pPr>
        <w:rPr>
          <w:rFonts w:asciiTheme="minorHAnsi" w:hAnsiTheme="minorHAnsi" w:cstheme="minorHAnsi"/>
          <w:sz w:val="16"/>
          <w:szCs w:val="16"/>
          <w:highlight w:val="yellow"/>
        </w:rPr>
      </w:pPr>
      <w:r w:rsidRPr="00664642">
        <w:rPr>
          <w:rFonts w:asciiTheme="minorHAnsi" w:hAnsiTheme="minorHAnsi" w:cstheme="minorHAnsi"/>
          <w:sz w:val="16"/>
          <w:szCs w:val="16"/>
        </w:rPr>
        <w:t>E pela primeira vez em 2023 a inflação na Europa entrou na casa dos 4% ao ano. Em setembro, foi registrado um CPI de 4,3%, em linha com as expectativas de mercado, e o dado capturado mais baixo desde outubro de 2021.</w:t>
      </w:r>
    </w:p>
    <w:p w14:paraId="0694EB23"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72576" behindDoc="0" locked="0" layoutInCell="1" allowOverlap="1" wp14:anchorId="3A231A1F" wp14:editId="6FADE2B6">
            <wp:simplePos x="0" y="0"/>
            <wp:positionH relativeFrom="column">
              <wp:posOffset>302260</wp:posOffset>
            </wp:positionH>
            <wp:positionV relativeFrom="paragraph">
              <wp:posOffset>218440</wp:posOffset>
            </wp:positionV>
            <wp:extent cx="5037257" cy="2331922"/>
            <wp:effectExtent l="0" t="0" r="0" b="0"/>
            <wp:wrapSquare wrapText="bothSides"/>
            <wp:docPr id="982795262" name="Picture 1" descr="A graph of a bar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795262" name="Picture 1" descr="A graph of a bar graph&#10;&#10;Description automatically generated with medium confidence"/>
                    <pic:cNvPicPr/>
                  </pic:nvPicPr>
                  <pic:blipFill>
                    <a:blip r:embed="rId26">
                      <a:extLst>
                        <a:ext uri="{28A0092B-C50C-407E-A947-70E740481C1C}">
                          <a14:useLocalDpi xmlns:a14="http://schemas.microsoft.com/office/drawing/2010/main" val="0"/>
                        </a:ext>
                      </a:extLst>
                    </a:blip>
                    <a:stretch>
                      <a:fillRect/>
                    </a:stretch>
                  </pic:blipFill>
                  <pic:spPr>
                    <a:xfrm>
                      <a:off x="0" y="0"/>
                      <a:ext cx="5037257" cy="2331922"/>
                    </a:xfrm>
                    <a:prstGeom prst="rect">
                      <a:avLst/>
                    </a:prstGeom>
                  </pic:spPr>
                </pic:pic>
              </a:graphicData>
            </a:graphic>
            <wp14:sizeRelH relativeFrom="margin">
              <wp14:pctWidth>0</wp14:pctWidth>
            </wp14:sizeRelH>
            <wp14:sizeRelV relativeFrom="margin">
              <wp14:pctHeight>0</wp14:pctHeight>
            </wp14:sizeRelV>
          </wp:anchor>
        </w:drawing>
      </w:r>
      <w:r w:rsidRPr="00664642">
        <w:rPr>
          <w:rFonts w:asciiTheme="minorHAnsi" w:hAnsiTheme="minorHAnsi" w:cstheme="minorHAnsi"/>
          <w:sz w:val="16"/>
          <w:szCs w:val="16"/>
        </w:rPr>
        <w:t>CPI – Zona do Euro:</w:t>
      </w:r>
    </w:p>
    <w:p w14:paraId="1A0D426F"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https://tradingeconomics.com/euro-area/inflation-cpi</w:t>
      </w:r>
    </w:p>
    <w:p w14:paraId="09BA4FF4"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O grande responsável por essa queda finalmente foi o setor de energia, com uma queda do custo acima dos -4,5%. Ainda assim, o setor de serviços ainda contou com uma forte aceleração dos preços (4,7%), além do setor de alimentos com quase 9%.</w:t>
      </w:r>
    </w:p>
    <w:p w14:paraId="4B99FCE3" w14:textId="77777777" w:rsidR="008557E5"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No mês, a variação foi de 0,3%, abaixo da medição de agosto.</w:t>
      </w:r>
    </w:p>
    <w:p w14:paraId="6D87619C"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73600" behindDoc="0" locked="0" layoutInCell="1" allowOverlap="1" wp14:anchorId="7CDF5CF2" wp14:editId="1FFDA16F">
            <wp:simplePos x="0" y="0"/>
            <wp:positionH relativeFrom="column">
              <wp:posOffset>95250</wp:posOffset>
            </wp:positionH>
            <wp:positionV relativeFrom="paragraph">
              <wp:posOffset>207645</wp:posOffset>
            </wp:positionV>
            <wp:extent cx="3870960" cy="1733550"/>
            <wp:effectExtent l="0" t="0" r="0" b="0"/>
            <wp:wrapSquare wrapText="bothSides"/>
            <wp:docPr id="765260204" name="Picture 1" descr="A graph of a number of blue and yellow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260204" name="Picture 1" descr="A graph of a number of blue and yellow bars&#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3870960" cy="1733550"/>
                    </a:xfrm>
                    <a:prstGeom prst="rect">
                      <a:avLst/>
                    </a:prstGeom>
                  </pic:spPr>
                </pic:pic>
              </a:graphicData>
            </a:graphic>
            <wp14:sizeRelH relativeFrom="margin">
              <wp14:pctWidth>0</wp14:pctWidth>
            </wp14:sizeRelH>
            <wp14:sizeRelV relativeFrom="margin">
              <wp14:pctHeight>0</wp14:pctHeight>
            </wp14:sizeRelV>
          </wp:anchor>
        </w:drawing>
      </w:r>
      <w:r w:rsidRPr="00664642">
        <w:rPr>
          <w:rFonts w:asciiTheme="minorHAnsi" w:hAnsiTheme="minorHAnsi" w:cstheme="minorHAnsi"/>
          <w:sz w:val="16"/>
          <w:szCs w:val="16"/>
        </w:rPr>
        <w:t>CPI mensal – Zona do Euro:</w:t>
      </w:r>
    </w:p>
    <w:p w14:paraId="7DB89302" w14:textId="77777777" w:rsidR="008557E5" w:rsidRDefault="008557E5" w:rsidP="008557E5">
      <w:pPr>
        <w:rPr>
          <w:rFonts w:asciiTheme="minorHAnsi" w:hAnsiTheme="minorHAnsi" w:cstheme="minorHAnsi"/>
          <w:i/>
          <w:sz w:val="16"/>
          <w:szCs w:val="16"/>
        </w:rPr>
      </w:pPr>
    </w:p>
    <w:p w14:paraId="2CEC9EF3" w14:textId="77777777" w:rsidR="008557E5" w:rsidRDefault="008557E5" w:rsidP="008557E5">
      <w:pPr>
        <w:rPr>
          <w:rFonts w:asciiTheme="minorHAnsi" w:hAnsiTheme="minorHAnsi" w:cstheme="minorHAnsi"/>
          <w:i/>
          <w:sz w:val="16"/>
          <w:szCs w:val="16"/>
        </w:rPr>
      </w:pPr>
    </w:p>
    <w:p w14:paraId="0C9AA76C" w14:textId="77777777" w:rsidR="008557E5" w:rsidRDefault="008557E5" w:rsidP="008557E5">
      <w:pPr>
        <w:rPr>
          <w:rFonts w:asciiTheme="minorHAnsi" w:hAnsiTheme="minorHAnsi" w:cstheme="minorHAnsi"/>
          <w:i/>
          <w:sz w:val="16"/>
          <w:szCs w:val="16"/>
        </w:rPr>
      </w:pPr>
    </w:p>
    <w:p w14:paraId="2415973A" w14:textId="77777777" w:rsidR="008557E5" w:rsidRDefault="008557E5" w:rsidP="008557E5">
      <w:pPr>
        <w:rPr>
          <w:rFonts w:asciiTheme="minorHAnsi" w:hAnsiTheme="minorHAnsi" w:cstheme="minorHAnsi"/>
          <w:i/>
          <w:sz w:val="16"/>
          <w:szCs w:val="16"/>
        </w:rPr>
      </w:pPr>
    </w:p>
    <w:p w14:paraId="6B57605D" w14:textId="77777777" w:rsidR="008557E5" w:rsidRDefault="008557E5" w:rsidP="008557E5">
      <w:pPr>
        <w:rPr>
          <w:rFonts w:asciiTheme="minorHAnsi" w:hAnsiTheme="minorHAnsi" w:cstheme="minorHAnsi"/>
          <w:i/>
          <w:sz w:val="16"/>
          <w:szCs w:val="16"/>
        </w:rPr>
      </w:pPr>
    </w:p>
    <w:p w14:paraId="1218B6E4" w14:textId="77777777" w:rsidR="008557E5" w:rsidRDefault="008557E5" w:rsidP="008557E5">
      <w:pPr>
        <w:rPr>
          <w:rFonts w:asciiTheme="minorHAnsi" w:hAnsiTheme="minorHAnsi" w:cstheme="minorHAnsi"/>
          <w:i/>
          <w:sz w:val="16"/>
          <w:szCs w:val="16"/>
        </w:rPr>
      </w:pPr>
    </w:p>
    <w:p w14:paraId="592CF9E8" w14:textId="77777777" w:rsidR="008557E5" w:rsidRDefault="008557E5" w:rsidP="008557E5">
      <w:pPr>
        <w:rPr>
          <w:rFonts w:asciiTheme="minorHAnsi" w:hAnsiTheme="minorHAnsi" w:cstheme="minorHAnsi"/>
          <w:i/>
          <w:sz w:val="16"/>
          <w:szCs w:val="16"/>
        </w:rPr>
      </w:pPr>
    </w:p>
    <w:p w14:paraId="2D7C1226"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https://tradingeconomics.com/euro-area/inflation-rate-mom</w:t>
      </w:r>
    </w:p>
    <w:p w14:paraId="0BD0FF9E" w14:textId="0AAB7DDF" w:rsidR="008557E5"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 xml:space="preserve">Já o núcleo, que elimina os itens mais voláteis, ainda que em patamar muito acima da meta de 2% dos </w:t>
      </w:r>
      <w:r w:rsidR="00773CF6" w:rsidRPr="00664642">
        <w:rPr>
          <w:rFonts w:asciiTheme="minorHAnsi" w:hAnsiTheme="minorHAnsi" w:cstheme="minorHAnsi"/>
          <w:sz w:val="16"/>
          <w:szCs w:val="16"/>
        </w:rPr>
        <w:t>líderes</w:t>
      </w:r>
      <w:r w:rsidRPr="00664642">
        <w:rPr>
          <w:rFonts w:asciiTheme="minorHAnsi" w:hAnsiTheme="minorHAnsi" w:cstheme="minorHAnsi"/>
          <w:sz w:val="16"/>
          <w:szCs w:val="16"/>
        </w:rPr>
        <w:t xml:space="preserve"> de política monetária da Europa, trouxe um dado que assim como o CPI cheio, entrou pela primeira vez em 2023 na casa dos 4%, com o dado de 4,5% ao ano, ante 5,3% de agosto.</w:t>
      </w:r>
    </w:p>
    <w:p w14:paraId="6BEB12A2"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74624" behindDoc="0" locked="0" layoutInCell="1" allowOverlap="1" wp14:anchorId="6026D9FE" wp14:editId="4D85C7BB">
            <wp:simplePos x="0" y="0"/>
            <wp:positionH relativeFrom="column">
              <wp:posOffset>157480</wp:posOffset>
            </wp:positionH>
            <wp:positionV relativeFrom="paragraph">
              <wp:posOffset>226060</wp:posOffset>
            </wp:positionV>
            <wp:extent cx="4999153" cy="2347163"/>
            <wp:effectExtent l="0" t="0" r="0" b="0"/>
            <wp:wrapSquare wrapText="bothSides"/>
            <wp:docPr id="1299648945" name="Picture 1" descr="A graph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648945" name="Picture 1" descr="A graph of blue bars&#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4999153" cy="2347163"/>
                    </a:xfrm>
                    <a:prstGeom prst="rect">
                      <a:avLst/>
                    </a:prstGeom>
                  </pic:spPr>
                </pic:pic>
              </a:graphicData>
            </a:graphic>
          </wp:anchor>
        </w:drawing>
      </w:r>
      <w:r w:rsidRPr="00664642">
        <w:rPr>
          <w:rFonts w:asciiTheme="minorHAnsi" w:hAnsiTheme="minorHAnsi" w:cstheme="minorHAnsi"/>
          <w:sz w:val="16"/>
          <w:szCs w:val="16"/>
        </w:rPr>
        <w:t>Núcleo inflação – Zona do Euro:</w:t>
      </w:r>
    </w:p>
    <w:p w14:paraId="3436C092"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https://tradingeconomics.com/euro-area/core-inflation-rate</w:t>
      </w:r>
    </w:p>
    <w:p w14:paraId="33867449"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Segundo o site</w:t>
      </w:r>
      <w:r w:rsidRPr="00664642">
        <w:rPr>
          <w:rStyle w:val="Refdenotaderodap"/>
          <w:rFonts w:asciiTheme="minorHAnsi" w:hAnsiTheme="minorHAnsi" w:cstheme="minorHAnsi"/>
          <w:sz w:val="16"/>
          <w:szCs w:val="16"/>
        </w:rPr>
        <w:footnoteReference w:id="3"/>
      </w:r>
      <w:r w:rsidRPr="00664642">
        <w:rPr>
          <w:rFonts w:asciiTheme="minorHAnsi" w:hAnsiTheme="minorHAnsi" w:cstheme="minorHAnsi"/>
          <w:sz w:val="16"/>
          <w:szCs w:val="16"/>
        </w:rPr>
        <w:t>oficial do Banco Central Europeu (ECB), as projeções de inflação para 2023, 2024, e 2025 são em média de 5,6%, 3,2%, e 2,1% respectivamente.</w:t>
      </w:r>
    </w:p>
    <w:p w14:paraId="4827E6CA"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Juros</w:t>
      </w:r>
    </w:p>
    <w:p w14:paraId="3DCDBE28" w14:textId="77777777" w:rsidR="008557E5"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A taxa de juros na Europa após reunião realizada na quarta feira 14 de setembro subiu 25 pontos base, permanecendo na janela entre 4,25% e 4,50%. O BCE sinalizou que essa seria a última elevação da mesma.</w:t>
      </w:r>
    </w:p>
    <w:p w14:paraId="1904D827"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60288" behindDoc="0" locked="0" layoutInCell="1" allowOverlap="1" wp14:anchorId="204C1E56" wp14:editId="23349512">
            <wp:simplePos x="0" y="0"/>
            <wp:positionH relativeFrom="margin">
              <wp:align>left</wp:align>
            </wp:positionH>
            <wp:positionV relativeFrom="paragraph">
              <wp:posOffset>315595</wp:posOffset>
            </wp:positionV>
            <wp:extent cx="5400040" cy="2602230"/>
            <wp:effectExtent l="0" t="0" r="0" b="7620"/>
            <wp:wrapTopAndBottom/>
            <wp:docPr id="1517982900" name="Picture 1" descr="A graph showing a line going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982900" name="Picture 1" descr="A graph showing a line going up&#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400040" cy="2602230"/>
                    </a:xfrm>
                    <a:prstGeom prst="rect">
                      <a:avLst/>
                    </a:prstGeom>
                  </pic:spPr>
                </pic:pic>
              </a:graphicData>
            </a:graphic>
          </wp:anchor>
        </w:drawing>
      </w:r>
      <w:r w:rsidRPr="00664642">
        <w:rPr>
          <w:rFonts w:asciiTheme="minorHAnsi" w:hAnsiTheme="minorHAnsi" w:cstheme="minorHAnsi"/>
          <w:sz w:val="16"/>
          <w:szCs w:val="16"/>
        </w:rPr>
        <w:t>Taxa de Juros – Zona do Euro:</w:t>
      </w:r>
    </w:p>
    <w:p w14:paraId="69E51EEA"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https://tradingeconomics.com/euro-area/interest-rate</w:t>
      </w:r>
    </w:p>
    <w:p w14:paraId="15DFF38B"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lastRenderedPageBreak/>
        <w:t>Vale reforçar que a ata trouxe um discurso comprometido em preservar o poder de compra da moeda, e trazer as taxas de inflação para dentro da meta.</w:t>
      </w:r>
    </w:p>
    <w:p w14:paraId="4B8ECAA0"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sz w:val="16"/>
          <w:szCs w:val="16"/>
        </w:rPr>
        <w:t>Como resultado, as projeções de crescimento econômico para a Europa não são animadoras. A expectativa para 2023, rondam entre 0,5% e 0,8%, para 2024 de 1% e 2025 em 1,5%. O principal país motor da indústria europeia, a Alemanha, segue com algumas projeções de retração de PIB para 2023.</w:t>
      </w:r>
    </w:p>
    <w:p w14:paraId="40003FA1"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PMI</w:t>
      </w:r>
    </w:p>
    <w:p w14:paraId="6495E5B8" w14:textId="6C88A25A" w:rsidR="008557E5"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Em linha com a baixa projeção de crescimento, o PMI composto na Europa trouxe cenário de contração pelo quarto mês seguido, nos 47,20 pontos ante 46,70 de agosto. A projeção para setembro era de 47,10.</w:t>
      </w:r>
    </w:p>
    <w:p w14:paraId="659AA2B3" w14:textId="0C147B91" w:rsidR="008557E5" w:rsidRPr="00664642" w:rsidRDefault="008557E5" w:rsidP="008557E5">
      <w:pPr>
        <w:jc w:val="center"/>
        <w:rPr>
          <w:rFonts w:asciiTheme="minorHAnsi" w:hAnsiTheme="minorHAnsi" w:cstheme="minorHAnsi"/>
          <w:noProof/>
          <w:sz w:val="16"/>
          <w:szCs w:val="16"/>
          <w:lang w:eastAsia="pt-BR"/>
        </w:rPr>
      </w:pPr>
      <w:r w:rsidRPr="00664642">
        <w:rPr>
          <w:rFonts w:asciiTheme="minorHAnsi" w:hAnsiTheme="minorHAnsi" w:cstheme="minorHAnsi"/>
          <w:noProof/>
          <w:sz w:val="16"/>
          <w:szCs w:val="16"/>
          <w:lang w:eastAsia="pt-BR"/>
        </w:rPr>
        <w:drawing>
          <wp:anchor distT="0" distB="0" distL="114300" distR="114300" simplePos="0" relativeHeight="251675648" behindDoc="0" locked="0" layoutInCell="1" allowOverlap="1" wp14:anchorId="3347A67C" wp14:editId="5ECABFCE">
            <wp:simplePos x="0" y="0"/>
            <wp:positionH relativeFrom="column">
              <wp:posOffset>302260</wp:posOffset>
            </wp:positionH>
            <wp:positionV relativeFrom="paragraph">
              <wp:posOffset>287020</wp:posOffset>
            </wp:positionV>
            <wp:extent cx="4991533" cy="2408129"/>
            <wp:effectExtent l="0" t="0" r="0" b="0"/>
            <wp:wrapSquare wrapText="bothSides"/>
            <wp:docPr id="1797017195" name="Picture 1" descr="A graph of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017195" name="Picture 1" descr="A graph of a bar chart&#10;&#10;Description automatically generated with medium confidence"/>
                    <pic:cNvPicPr/>
                  </pic:nvPicPr>
                  <pic:blipFill>
                    <a:blip r:embed="rId30">
                      <a:extLst>
                        <a:ext uri="{28A0092B-C50C-407E-A947-70E740481C1C}">
                          <a14:useLocalDpi xmlns:a14="http://schemas.microsoft.com/office/drawing/2010/main" val="0"/>
                        </a:ext>
                      </a:extLst>
                    </a:blip>
                    <a:stretch>
                      <a:fillRect/>
                    </a:stretch>
                  </pic:blipFill>
                  <pic:spPr>
                    <a:xfrm>
                      <a:off x="0" y="0"/>
                      <a:ext cx="4991533" cy="2408129"/>
                    </a:xfrm>
                    <a:prstGeom prst="rect">
                      <a:avLst/>
                    </a:prstGeom>
                  </pic:spPr>
                </pic:pic>
              </a:graphicData>
            </a:graphic>
          </wp:anchor>
        </w:drawing>
      </w:r>
      <w:r w:rsidRPr="00664642">
        <w:rPr>
          <w:rFonts w:asciiTheme="minorHAnsi" w:hAnsiTheme="minorHAnsi" w:cstheme="minorHAnsi"/>
          <w:sz w:val="16"/>
          <w:szCs w:val="16"/>
        </w:rPr>
        <w:t>PMI composto – Zona do Euro:</w:t>
      </w:r>
      <w:r w:rsidRPr="00664642">
        <w:rPr>
          <w:rFonts w:asciiTheme="minorHAnsi" w:hAnsiTheme="minorHAnsi" w:cstheme="minorHAnsi"/>
          <w:sz w:val="16"/>
          <w:szCs w:val="16"/>
        </w:rPr>
        <w:br/>
      </w:r>
    </w:p>
    <w:p w14:paraId="7860AB94" w14:textId="77777777" w:rsidR="008557E5" w:rsidRPr="00664642" w:rsidRDefault="008557E5" w:rsidP="008557E5">
      <w:pPr>
        <w:jc w:val="left"/>
        <w:rPr>
          <w:rFonts w:asciiTheme="minorHAnsi" w:hAnsiTheme="minorHAnsi" w:cstheme="minorHAnsi"/>
          <w:i/>
          <w:sz w:val="16"/>
          <w:szCs w:val="16"/>
        </w:rPr>
      </w:pPr>
      <w:r w:rsidRPr="00664642">
        <w:rPr>
          <w:rFonts w:asciiTheme="minorHAnsi" w:hAnsiTheme="minorHAnsi" w:cstheme="minorHAnsi"/>
          <w:i/>
          <w:sz w:val="16"/>
          <w:szCs w:val="16"/>
        </w:rPr>
        <w:t>Fonte: https://tradingeconomics.com/euro-area/composite-pmi</w:t>
      </w:r>
    </w:p>
    <w:p w14:paraId="2FA344F4" w14:textId="77777777" w:rsidR="008557E5"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Para a indústria, o dado que já não era dos melhores, teve uma singela queda. Enquanto agosto marcou 43,50, o mês de setembro caiu para 43,40. Este foi o 15º registro de contração para o setor industrial no velho continente.</w:t>
      </w:r>
    </w:p>
    <w:p w14:paraId="2599059B"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76672" behindDoc="0" locked="0" layoutInCell="1" allowOverlap="1" wp14:anchorId="232D3D18" wp14:editId="198D93D8">
            <wp:simplePos x="0" y="0"/>
            <wp:positionH relativeFrom="column">
              <wp:posOffset>340360</wp:posOffset>
            </wp:positionH>
            <wp:positionV relativeFrom="paragraph">
              <wp:posOffset>243840</wp:posOffset>
            </wp:positionV>
            <wp:extent cx="5006774" cy="2400508"/>
            <wp:effectExtent l="0" t="0" r="3810" b="0"/>
            <wp:wrapSquare wrapText="bothSides"/>
            <wp:docPr id="1337801630" name="Picture 1" descr="A graph of a number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801630" name="Picture 1" descr="A graph of a number of blue bars&#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006774" cy="2400508"/>
                    </a:xfrm>
                    <a:prstGeom prst="rect">
                      <a:avLst/>
                    </a:prstGeom>
                  </pic:spPr>
                </pic:pic>
              </a:graphicData>
            </a:graphic>
          </wp:anchor>
        </w:drawing>
      </w:r>
      <w:r w:rsidRPr="00664642">
        <w:rPr>
          <w:rFonts w:asciiTheme="minorHAnsi" w:hAnsiTheme="minorHAnsi" w:cstheme="minorHAnsi"/>
          <w:sz w:val="16"/>
          <w:szCs w:val="16"/>
        </w:rPr>
        <w:t>PMI industrial – Zona do Euro:</w:t>
      </w:r>
    </w:p>
    <w:p w14:paraId="7A78D14A"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https://tradingeconomics.com/euro-area/manufacturing-pmi</w:t>
      </w:r>
    </w:p>
    <w:p w14:paraId="0801F6C0"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Já o dado de serviços da mesma região, após bater no fundo de 47,90 em agosto, menor patamar na janela anual, subiu para 48,70 em setembro, porém ainda em campo contracionista pelo segundo mês consecutivo.</w:t>
      </w:r>
    </w:p>
    <w:p w14:paraId="4E63E8C2" w14:textId="77777777" w:rsidR="008557E5" w:rsidRPr="00664642" w:rsidRDefault="008557E5" w:rsidP="008557E5">
      <w:pPr>
        <w:jc w:val="center"/>
        <w:rPr>
          <w:rFonts w:asciiTheme="minorHAnsi" w:hAnsiTheme="minorHAnsi" w:cstheme="minorHAnsi"/>
          <w:sz w:val="16"/>
          <w:szCs w:val="16"/>
        </w:rPr>
      </w:pPr>
    </w:p>
    <w:p w14:paraId="69E53F7A" w14:textId="7F4A583C" w:rsidR="008557E5" w:rsidRDefault="008557E5" w:rsidP="008557E5">
      <w:pPr>
        <w:jc w:val="center"/>
        <w:rPr>
          <w:rFonts w:asciiTheme="minorHAnsi" w:hAnsiTheme="minorHAnsi" w:cstheme="minorHAnsi"/>
          <w:sz w:val="16"/>
          <w:szCs w:val="16"/>
        </w:rPr>
      </w:pPr>
      <w:r w:rsidRPr="00664642">
        <w:rPr>
          <w:rFonts w:asciiTheme="minorHAnsi" w:hAnsiTheme="minorHAnsi" w:cstheme="minorHAnsi"/>
          <w:sz w:val="16"/>
          <w:szCs w:val="16"/>
        </w:rPr>
        <w:t>PMI serviços – Zona do Euro:</w:t>
      </w:r>
    </w:p>
    <w:p w14:paraId="1AC125D5" w14:textId="1126799F"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noProof/>
          <w:sz w:val="16"/>
          <w:szCs w:val="16"/>
          <w:lang w:eastAsia="pt-BR"/>
        </w:rPr>
        <w:lastRenderedPageBreak/>
        <w:drawing>
          <wp:anchor distT="0" distB="0" distL="114300" distR="114300" simplePos="0" relativeHeight="251677696" behindDoc="0" locked="0" layoutInCell="1" allowOverlap="1" wp14:anchorId="676D7BF1" wp14:editId="5D82B540">
            <wp:simplePos x="0" y="0"/>
            <wp:positionH relativeFrom="column">
              <wp:posOffset>334010</wp:posOffset>
            </wp:positionH>
            <wp:positionV relativeFrom="paragraph">
              <wp:posOffset>-7245985</wp:posOffset>
            </wp:positionV>
            <wp:extent cx="5062220" cy="2472690"/>
            <wp:effectExtent l="0" t="0" r="5080" b="3810"/>
            <wp:wrapSquare wrapText="bothSides"/>
            <wp:docPr id="1162607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607789" name=""/>
                    <pic:cNvPicPr/>
                  </pic:nvPicPr>
                  <pic:blipFill>
                    <a:blip r:embed="rId32">
                      <a:extLst>
                        <a:ext uri="{28A0092B-C50C-407E-A947-70E740481C1C}">
                          <a14:useLocalDpi xmlns:a14="http://schemas.microsoft.com/office/drawing/2010/main" val="0"/>
                        </a:ext>
                      </a:extLst>
                    </a:blip>
                    <a:stretch>
                      <a:fillRect/>
                    </a:stretch>
                  </pic:blipFill>
                  <pic:spPr>
                    <a:xfrm>
                      <a:off x="0" y="0"/>
                      <a:ext cx="5062220" cy="2472690"/>
                    </a:xfrm>
                    <a:prstGeom prst="rect">
                      <a:avLst/>
                    </a:prstGeom>
                  </pic:spPr>
                </pic:pic>
              </a:graphicData>
            </a:graphic>
            <wp14:sizeRelH relativeFrom="margin">
              <wp14:pctWidth>0</wp14:pctWidth>
            </wp14:sizeRelH>
            <wp14:sizeRelV relativeFrom="margin">
              <wp14:pctHeight>0</wp14:pctHeight>
            </wp14:sizeRelV>
          </wp:anchor>
        </w:drawing>
      </w:r>
      <w:r w:rsidRPr="00664642">
        <w:rPr>
          <w:rFonts w:asciiTheme="minorHAnsi" w:hAnsiTheme="minorHAnsi" w:cstheme="minorHAnsi"/>
          <w:i/>
          <w:sz w:val="16"/>
          <w:szCs w:val="16"/>
        </w:rPr>
        <w:t>Fonte: https://tradingeconomics.com/euro-area/services-pmi</w:t>
      </w:r>
    </w:p>
    <w:p w14:paraId="7ED50F2D" w14:textId="77777777" w:rsidR="008557E5" w:rsidRPr="00664642" w:rsidRDefault="008557E5" w:rsidP="008557E5">
      <w:pPr>
        <w:spacing w:before="0" w:after="160" w:line="259" w:lineRule="auto"/>
        <w:jc w:val="left"/>
        <w:rPr>
          <w:rFonts w:asciiTheme="minorHAnsi" w:hAnsiTheme="minorHAnsi" w:cstheme="minorHAnsi"/>
          <w:b/>
          <w:color w:val="auto"/>
          <w:sz w:val="16"/>
          <w:szCs w:val="16"/>
          <w:highlight w:val="yellow"/>
        </w:rPr>
      </w:pPr>
      <w:r w:rsidRPr="00664642">
        <w:rPr>
          <w:rFonts w:asciiTheme="minorHAnsi" w:hAnsiTheme="minorHAnsi" w:cstheme="minorHAnsi"/>
          <w:b/>
          <w:color w:val="auto"/>
          <w:sz w:val="16"/>
          <w:szCs w:val="16"/>
          <w:highlight w:val="yellow"/>
        </w:rPr>
        <w:br w:type="page"/>
      </w:r>
    </w:p>
    <w:p w14:paraId="4EB43765" w14:textId="77777777" w:rsidR="008557E5" w:rsidRPr="00664642" w:rsidRDefault="008557E5" w:rsidP="008557E5">
      <w:pPr>
        <w:rPr>
          <w:rFonts w:asciiTheme="minorHAnsi" w:hAnsiTheme="minorHAnsi" w:cstheme="minorHAnsi"/>
          <w:b/>
          <w:color w:val="auto"/>
          <w:sz w:val="16"/>
          <w:szCs w:val="16"/>
        </w:rPr>
      </w:pPr>
      <w:r w:rsidRPr="00664642">
        <w:rPr>
          <w:rFonts w:asciiTheme="minorHAnsi" w:hAnsiTheme="minorHAnsi" w:cstheme="minorHAnsi"/>
          <w:b/>
          <w:color w:val="auto"/>
          <w:sz w:val="16"/>
          <w:szCs w:val="16"/>
        </w:rPr>
        <w:lastRenderedPageBreak/>
        <w:t>Ásia</w:t>
      </w:r>
    </w:p>
    <w:p w14:paraId="72BDF5E1"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Inflação</w:t>
      </w:r>
    </w:p>
    <w:p w14:paraId="7C8EB0EB"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Na China, de acordo com os dados divulgados, a inflação permanece em patamares bem baixos e controlados, e diferente da projeção de 0,2% de inflação ao ano, setembro não contou com nenhuma variação dos preços, conforme vemos abaixo:</w:t>
      </w:r>
    </w:p>
    <w:p w14:paraId="09263510"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78720" behindDoc="0" locked="0" layoutInCell="1" allowOverlap="1" wp14:anchorId="0EA1B883" wp14:editId="6D303083">
            <wp:simplePos x="0" y="0"/>
            <wp:positionH relativeFrom="column">
              <wp:posOffset>325120</wp:posOffset>
            </wp:positionH>
            <wp:positionV relativeFrom="paragraph">
              <wp:posOffset>332740</wp:posOffset>
            </wp:positionV>
            <wp:extent cx="4976291" cy="2270957"/>
            <wp:effectExtent l="0" t="0" r="0" b="0"/>
            <wp:wrapSquare wrapText="bothSides"/>
            <wp:docPr id="925715111" name="Picture 1" descr="A graph of a bar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715111" name="Picture 1" descr="A graph of a bar graph&#10;&#10;Description automatically generated with medium confidence"/>
                    <pic:cNvPicPr/>
                  </pic:nvPicPr>
                  <pic:blipFill>
                    <a:blip r:embed="rId33">
                      <a:extLst>
                        <a:ext uri="{28A0092B-C50C-407E-A947-70E740481C1C}">
                          <a14:useLocalDpi xmlns:a14="http://schemas.microsoft.com/office/drawing/2010/main" val="0"/>
                        </a:ext>
                      </a:extLst>
                    </a:blip>
                    <a:stretch>
                      <a:fillRect/>
                    </a:stretch>
                  </pic:blipFill>
                  <pic:spPr>
                    <a:xfrm>
                      <a:off x="0" y="0"/>
                      <a:ext cx="4976291" cy="2270957"/>
                    </a:xfrm>
                    <a:prstGeom prst="rect">
                      <a:avLst/>
                    </a:prstGeom>
                  </pic:spPr>
                </pic:pic>
              </a:graphicData>
            </a:graphic>
            <wp14:sizeRelH relativeFrom="margin">
              <wp14:pctWidth>0</wp14:pctWidth>
            </wp14:sizeRelH>
            <wp14:sizeRelV relativeFrom="margin">
              <wp14:pctHeight>0</wp14:pctHeight>
            </wp14:sizeRelV>
          </wp:anchor>
        </w:drawing>
      </w:r>
      <w:r w:rsidRPr="00664642">
        <w:rPr>
          <w:rFonts w:asciiTheme="minorHAnsi" w:hAnsiTheme="minorHAnsi" w:cstheme="minorHAnsi"/>
          <w:sz w:val="16"/>
          <w:szCs w:val="16"/>
        </w:rPr>
        <w:t>CPI – China:</w:t>
      </w:r>
    </w:p>
    <w:p w14:paraId="19CE6CE0"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https://tradingeconomics.com/china/inflation-cpi</w:t>
      </w:r>
    </w:p>
    <w:p w14:paraId="1F337A7C" w14:textId="77777777" w:rsidR="008557E5" w:rsidRPr="00664642" w:rsidRDefault="008557E5" w:rsidP="008557E5">
      <w:pPr>
        <w:rPr>
          <w:rFonts w:asciiTheme="minorHAnsi" w:hAnsiTheme="minorHAnsi" w:cstheme="minorHAnsi"/>
          <w:sz w:val="16"/>
          <w:szCs w:val="16"/>
          <w:highlight w:val="yellow"/>
        </w:rPr>
      </w:pPr>
      <w:r w:rsidRPr="00664642">
        <w:rPr>
          <w:rFonts w:asciiTheme="minorHAnsi" w:hAnsiTheme="minorHAnsi" w:cstheme="minorHAnsi"/>
          <w:sz w:val="16"/>
          <w:szCs w:val="16"/>
        </w:rPr>
        <w:t>Pelo terceiro mês consecutivo, o núcleo registrou 0,8% ao ano em setembro.</w:t>
      </w:r>
    </w:p>
    <w:p w14:paraId="14EEA7DD"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Juros</w:t>
      </w:r>
    </w:p>
    <w:p w14:paraId="22AA8155"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Desde 21 de agosto, em que o banco central chinês (PBoC) realizou um corte de 10 pontos base em sua taxa de 1 ano ao patamar de 3,45% ao ano, não tivemos alterações. O mesmo é válido para a taxa de juros de empréstimo de vencimento de 5 anos, que também permanece no patamar de 4,2% (LPR) ao ano.</w:t>
      </w:r>
    </w:p>
    <w:p w14:paraId="02306EA0"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sz w:val="16"/>
          <w:szCs w:val="16"/>
        </w:rPr>
        <w:t>Taxa de Juros (1 ano) – China:</w:t>
      </w:r>
      <w:r w:rsidRPr="00664642">
        <w:rPr>
          <w:rFonts w:asciiTheme="minorHAnsi" w:hAnsiTheme="minorHAnsi" w:cstheme="minorHAnsi"/>
          <w:sz w:val="16"/>
          <w:szCs w:val="16"/>
        </w:rPr>
        <w:br/>
      </w:r>
      <w:r w:rsidRPr="00664642">
        <w:rPr>
          <w:rFonts w:asciiTheme="minorHAnsi" w:hAnsiTheme="minorHAnsi" w:cstheme="minorHAnsi"/>
          <w:noProof/>
          <w:sz w:val="16"/>
          <w:szCs w:val="16"/>
          <w:lang w:eastAsia="pt-BR"/>
        </w:rPr>
        <w:drawing>
          <wp:inline distT="0" distB="0" distL="0" distR="0" wp14:anchorId="6CC1F0E5" wp14:editId="67438331">
            <wp:extent cx="5204911" cy="2522439"/>
            <wp:effectExtent l="0" t="0" r="0" b="0"/>
            <wp:docPr id="810910544" name="Picture 1" descr="A line graph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910544" name="Picture 1" descr="A line graph with numbers&#10;&#10;Description automatically generated"/>
                    <pic:cNvPicPr/>
                  </pic:nvPicPr>
                  <pic:blipFill>
                    <a:blip r:embed="rId34"/>
                    <a:stretch>
                      <a:fillRect/>
                    </a:stretch>
                  </pic:blipFill>
                  <pic:spPr>
                    <a:xfrm>
                      <a:off x="0" y="0"/>
                      <a:ext cx="5204911" cy="2522439"/>
                    </a:xfrm>
                    <a:prstGeom prst="rect">
                      <a:avLst/>
                    </a:prstGeom>
                  </pic:spPr>
                </pic:pic>
              </a:graphicData>
            </a:graphic>
          </wp:inline>
        </w:drawing>
      </w:r>
    </w:p>
    <w:p w14:paraId="1710B450"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https://tradingeconomics.com/china/interest-rate</w:t>
      </w:r>
    </w:p>
    <w:p w14:paraId="76E21FC7"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Como já citado, ao longo do mês de setembro, o PBoC trabalhou com a venda de treasuries do governo americano, com a finalidade de minimizar a depreciação do Yuan, e por sua vez, o potencial de impactar a inflação local.</w:t>
      </w:r>
    </w:p>
    <w:p w14:paraId="5BEA0768" w14:textId="77777777" w:rsidR="008557E5" w:rsidRPr="00664642" w:rsidRDefault="008557E5" w:rsidP="008557E5">
      <w:pPr>
        <w:rPr>
          <w:rFonts w:asciiTheme="minorHAnsi" w:hAnsiTheme="minorHAnsi" w:cstheme="minorHAnsi"/>
          <w:color w:val="auto"/>
          <w:sz w:val="16"/>
          <w:szCs w:val="16"/>
        </w:rPr>
      </w:pPr>
    </w:p>
    <w:p w14:paraId="3C2B1333"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PMI</w:t>
      </w:r>
    </w:p>
    <w:p w14:paraId="5B8C4D03"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lastRenderedPageBreak/>
        <w:t>Os efeitos do aperto monetário global, além dos efeitos dos patamares de juro chinês foram sentidos nos indicadores PMIs da gigante asiática. Timidamente no campo expansionista, o PMI de serviços de setembro caiu pelo quarto mês consecutivo atingindo 50,20 pontos ante 51,80 de agosto.</w:t>
      </w:r>
    </w:p>
    <w:p w14:paraId="307362DA"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79744" behindDoc="0" locked="0" layoutInCell="1" allowOverlap="1" wp14:anchorId="240CCE56" wp14:editId="1A54836C">
            <wp:simplePos x="0" y="0"/>
            <wp:positionH relativeFrom="column">
              <wp:posOffset>393700</wp:posOffset>
            </wp:positionH>
            <wp:positionV relativeFrom="paragraph">
              <wp:posOffset>309880</wp:posOffset>
            </wp:positionV>
            <wp:extent cx="4991533" cy="2438611"/>
            <wp:effectExtent l="0" t="0" r="0" b="0"/>
            <wp:wrapSquare wrapText="bothSides"/>
            <wp:docPr id="793045854" name="Picture 1" descr="A graph of a number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045854" name="Picture 1" descr="A graph of a number of blue bars&#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4991533" cy="2438611"/>
                    </a:xfrm>
                    <a:prstGeom prst="rect">
                      <a:avLst/>
                    </a:prstGeom>
                  </pic:spPr>
                </pic:pic>
              </a:graphicData>
            </a:graphic>
          </wp:anchor>
        </w:drawing>
      </w:r>
      <w:r w:rsidRPr="00664642">
        <w:rPr>
          <w:rFonts w:asciiTheme="minorHAnsi" w:hAnsiTheme="minorHAnsi" w:cstheme="minorHAnsi"/>
          <w:sz w:val="16"/>
          <w:szCs w:val="16"/>
        </w:rPr>
        <w:t>PMI serviços – China:</w:t>
      </w:r>
    </w:p>
    <w:p w14:paraId="55A41B36"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https://tradingeconomics.com/china/services-pmi</w:t>
      </w:r>
    </w:p>
    <w:p w14:paraId="13B4D48A"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O PMI industrial recuou frente a recuperação de agosto. O índice caiu para 50,60 em setembro frente a 51 pontos em agosto, e abaixo das expectativas de mercado que estimavam 51,2.</w:t>
      </w:r>
    </w:p>
    <w:p w14:paraId="1B4A7785"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80768" behindDoc="0" locked="0" layoutInCell="1" allowOverlap="1" wp14:anchorId="37429955" wp14:editId="11011637">
            <wp:simplePos x="0" y="0"/>
            <wp:positionH relativeFrom="column">
              <wp:posOffset>309880</wp:posOffset>
            </wp:positionH>
            <wp:positionV relativeFrom="paragraph">
              <wp:posOffset>335280</wp:posOffset>
            </wp:positionV>
            <wp:extent cx="5037257" cy="2438611"/>
            <wp:effectExtent l="0" t="0" r="0" b="0"/>
            <wp:wrapSquare wrapText="bothSides"/>
            <wp:docPr id="1385026436" name="Picture 1" descr="A graph of a number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026436" name="Picture 1" descr="A graph of a number of blue bars&#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5037257" cy="2438611"/>
                    </a:xfrm>
                    <a:prstGeom prst="rect">
                      <a:avLst/>
                    </a:prstGeom>
                  </pic:spPr>
                </pic:pic>
              </a:graphicData>
            </a:graphic>
          </wp:anchor>
        </w:drawing>
      </w:r>
      <w:r w:rsidRPr="00664642">
        <w:rPr>
          <w:rFonts w:asciiTheme="minorHAnsi" w:hAnsiTheme="minorHAnsi" w:cstheme="minorHAnsi"/>
          <w:sz w:val="16"/>
          <w:szCs w:val="16"/>
        </w:rPr>
        <w:t>PMI industrial – China:</w:t>
      </w:r>
    </w:p>
    <w:p w14:paraId="12D7E470"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https://tradingeconomics.com/china/manufacturing-pmi</w:t>
      </w:r>
    </w:p>
    <w:p w14:paraId="7F635C39"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O índice composto, assim como o de serviços, marcou queda pelo quarto mês consecutivo e em menor patamar do ano, porém ainda em campo expansionista, com 50,90 pontos em setembro ante 51,70 em agosto.</w:t>
      </w:r>
    </w:p>
    <w:p w14:paraId="21D5F81C"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lastRenderedPageBreak/>
        <w:drawing>
          <wp:anchor distT="0" distB="0" distL="114300" distR="114300" simplePos="0" relativeHeight="251681792" behindDoc="0" locked="0" layoutInCell="1" allowOverlap="1" wp14:anchorId="71BE08A1" wp14:editId="225E01B9">
            <wp:simplePos x="0" y="0"/>
            <wp:positionH relativeFrom="column">
              <wp:posOffset>363220</wp:posOffset>
            </wp:positionH>
            <wp:positionV relativeFrom="paragraph">
              <wp:posOffset>302260</wp:posOffset>
            </wp:positionV>
            <wp:extent cx="5006774" cy="2423370"/>
            <wp:effectExtent l="0" t="0" r="3810" b="0"/>
            <wp:wrapSquare wrapText="bothSides"/>
            <wp:docPr id="23642524" name="Picture 1" descr="A graph of a number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2524" name="Picture 1" descr="A graph of a number of blue bars&#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5006774" cy="2423370"/>
                    </a:xfrm>
                    <a:prstGeom prst="rect">
                      <a:avLst/>
                    </a:prstGeom>
                  </pic:spPr>
                </pic:pic>
              </a:graphicData>
            </a:graphic>
          </wp:anchor>
        </w:drawing>
      </w:r>
      <w:r w:rsidRPr="00664642">
        <w:rPr>
          <w:rFonts w:asciiTheme="minorHAnsi" w:hAnsiTheme="minorHAnsi" w:cstheme="minorHAnsi"/>
          <w:sz w:val="16"/>
          <w:szCs w:val="16"/>
        </w:rPr>
        <w:t>PMI composto – China:</w:t>
      </w:r>
    </w:p>
    <w:p w14:paraId="289C1853"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https://tradingeconomics.com/china/composite-pmi</w:t>
      </w:r>
    </w:p>
    <w:p w14:paraId="075DECF1" w14:textId="77777777" w:rsidR="008557E5" w:rsidRPr="00664642" w:rsidRDefault="008557E5" w:rsidP="008557E5">
      <w:pPr>
        <w:rPr>
          <w:rFonts w:asciiTheme="minorHAnsi" w:hAnsiTheme="minorHAnsi" w:cstheme="minorHAnsi"/>
          <w:b/>
          <w:color w:val="auto"/>
          <w:sz w:val="16"/>
          <w:szCs w:val="16"/>
        </w:rPr>
      </w:pPr>
    </w:p>
    <w:p w14:paraId="39578349" w14:textId="77777777" w:rsidR="008557E5" w:rsidRPr="00664642" w:rsidRDefault="008557E5" w:rsidP="008557E5">
      <w:pPr>
        <w:rPr>
          <w:rFonts w:asciiTheme="minorHAnsi" w:hAnsiTheme="minorHAnsi" w:cstheme="minorHAnsi"/>
          <w:b/>
          <w:color w:val="auto"/>
          <w:sz w:val="16"/>
          <w:szCs w:val="16"/>
        </w:rPr>
      </w:pPr>
      <w:r w:rsidRPr="00664642">
        <w:rPr>
          <w:rFonts w:asciiTheme="minorHAnsi" w:hAnsiTheme="minorHAnsi" w:cstheme="minorHAnsi"/>
          <w:b/>
          <w:color w:val="auto"/>
          <w:sz w:val="16"/>
          <w:szCs w:val="16"/>
        </w:rPr>
        <w:t>Brasil</w:t>
      </w:r>
    </w:p>
    <w:p w14:paraId="6D546806"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Juros</w:t>
      </w:r>
    </w:p>
    <w:p w14:paraId="5A27AC95"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No Brasil, no dia 20 de setembro, o Bacen (Banco Central do Brasil) realizou mais um corte da magnitude de 50 pontos base, chegando em 12,75% ao ano. Além do corte esperado, as informações divulgadas posteriormente foram que cortes de mesma magnitude são esperadas até o fim de 2023, ou seja, 11,75% ao ano.</w:t>
      </w:r>
    </w:p>
    <w:p w14:paraId="3F14BA74"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Por outro lado, ao longo do mês de setembro por conta principalmente de uma influência vinda do exterior, tivemos uma elevação da curva de juros, a chamada abertura da curva, que impactou principalmente o mercado de renda variável.</w:t>
      </w:r>
    </w:p>
    <w:p w14:paraId="1941C451"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Além dos ruídos e incertezas do mercado global, outros fatores que contribuíram para a abertura da curva de juros se deram também pela estagnação da discussão da reforma tributária, somado as incertezas fiscais.</w:t>
      </w:r>
    </w:p>
    <w:p w14:paraId="0B15188B"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Inflação</w:t>
      </w:r>
    </w:p>
    <w:p w14:paraId="435B3A0D" w14:textId="77777777" w:rsidR="008557E5"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Sobre o IPCA, o mês de setembro registrou alta de 0,26%, abaixo do consenso de mercado de 0,33%. O principal grupo que mostrou queda foi o de serviços, além de alimentos e bens industriais que registraram inclusive deflação. No acumulado de 12 meses, o número acelerou para 5,19% em relação ao mesmo período do ano anterior.</w:t>
      </w:r>
    </w:p>
    <w:p w14:paraId="1DCEEF59" w14:textId="77777777" w:rsidR="008557E5" w:rsidRPr="00664642" w:rsidRDefault="008557E5" w:rsidP="008557E5">
      <w:pPr>
        <w:spacing w:before="0" w:after="160" w:line="259" w:lineRule="auto"/>
        <w:jc w:val="left"/>
        <w:rPr>
          <w:rFonts w:asciiTheme="minorHAnsi" w:hAnsiTheme="minorHAnsi" w:cstheme="minorHAnsi"/>
          <w:sz w:val="16"/>
          <w:szCs w:val="16"/>
        </w:rPr>
      </w:pPr>
    </w:p>
    <w:p w14:paraId="26C0EF04"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83840" behindDoc="0" locked="0" layoutInCell="1" allowOverlap="1" wp14:anchorId="0B74EC27" wp14:editId="1F9454C2">
            <wp:simplePos x="0" y="0"/>
            <wp:positionH relativeFrom="column">
              <wp:posOffset>187960</wp:posOffset>
            </wp:positionH>
            <wp:positionV relativeFrom="paragraph">
              <wp:posOffset>256540</wp:posOffset>
            </wp:positionV>
            <wp:extent cx="5006774" cy="2286198"/>
            <wp:effectExtent l="0" t="0" r="3810" b="0"/>
            <wp:wrapSquare wrapText="bothSides"/>
            <wp:docPr id="1331801333" name="Picture 1" descr="A graph of a number of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01333" name="Picture 1" descr="A graph of a number of blue bars&#10;&#10;Description automatically generated with medium confidence"/>
                    <pic:cNvPicPr/>
                  </pic:nvPicPr>
                  <pic:blipFill>
                    <a:blip r:embed="rId38">
                      <a:extLst>
                        <a:ext uri="{28A0092B-C50C-407E-A947-70E740481C1C}">
                          <a14:useLocalDpi xmlns:a14="http://schemas.microsoft.com/office/drawing/2010/main" val="0"/>
                        </a:ext>
                      </a:extLst>
                    </a:blip>
                    <a:stretch>
                      <a:fillRect/>
                    </a:stretch>
                  </pic:blipFill>
                  <pic:spPr>
                    <a:xfrm>
                      <a:off x="0" y="0"/>
                      <a:ext cx="5006774" cy="2286198"/>
                    </a:xfrm>
                    <a:prstGeom prst="rect">
                      <a:avLst/>
                    </a:prstGeom>
                  </pic:spPr>
                </pic:pic>
              </a:graphicData>
            </a:graphic>
          </wp:anchor>
        </w:drawing>
      </w:r>
      <w:r w:rsidRPr="00664642">
        <w:rPr>
          <w:rFonts w:asciiTheme="minorHAnsi" w:hAnsiTheme="minorHAnsi" w:cstheme="minorHAnsi"/>
          <w:sz w:val="16"/>
          <w:szCs w:val="16"/>
        </w:rPr>
        <w:t>IPCA mensal – Brasil:</w:t>
      </w:r>
    </w:p>
    <w:p w14:paraId="529E4372"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https://tradingeconomics.com/brazil/inflation-rate-mom</w:t>
      </w:r>
    </w:p>
    <w:p w14:paraId="1C8E41D6"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lastRenderedPageBreak/>
        <w:drawing>
          <wp:anchor distT="0" distB="0" distL="114300" distR="114300" simplePos="0" relativeHeight="251682816" behindDoc="0" locked="0" layoutInCell="1" allowOverlap="1" wp14:anchorId="18845FFC" wp14:editId="2963014B">
            <wp:simplePos x="0" y="0"/>
            <wp:positionH relativeFrom="column">
              <wp:posOffset>294640</wp:posOffset>
            </wp:positionH>
            <wp:positionV relativeFrom="paragraph">
              <wp:posOffset>332740</wp:posOffset>
            </wp:positionV>
            <wp:extent cx="5075360" cy="2293819"/>
            <wp:effectExtent l="0" t="0" r="0" b="0"/>
            <wp:wrapSquare wrapText="bothSides"/>
            <wp:docPr id="1100509208" name="Picture 1" descr="A graph of a number of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509208" name="Picture 1" descr="A graph of a number of blue bars&#10;&#10;Description automatically generated with medium confidence"/>
                    <pic:cNvPicPr/>
                  </pic:nvPicPr>
                  <pic:blipFill>
                    <a:blip r:embed="rId39">
                      <a:extLst>
                        <a:ext uri="{28A0092B-C50C-407E-A947-70E740481C1C}">
                          <a14:useLocalDpi xmlns:a14="http://schemas.microsoft.com/office/drawing/2010/main" val="0"/>
                        </a:ext>
                      </a:extLst>
                    </a:blip>
                    <a:stretch>
                      <a:fillRect/>
                    </a:stretch>
                  </pic:blipFill>
                  <pic:spPr>
                    <a:xfrm>
                      <a:off x="0" y="0"/>
                      <a:ext cx="5075360" cy="2293819"/>
                    </a:xfrm>
                    <a:prstGeom prst="rect">
                      <a:avLst/>
                    </a:prstGeom>
                  </pic:spPr>
                </pic:pic>
              </a:graphicData>
            </a:graphic>
          </wp:anchor>
        </w:drawing>
      </w:r>
      <w:r w:rsidRPr="00664642">
        <w:rPr>
          <w:rFonts w:asciiTheme="minorHAnsi" w:hAnsiTheme="minorHAnsi" w:cstheme="minorHAnsi"/>
          <w:sz w:val="16"/>
          <w:szCs w:val="16"/>
        </w:rPr>
        <w:t>IPCA anual – Brasil:</w:t>
      </w:r>
    </w:p>
    <w:p w14:paraId="188064EB"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https://tradingeconomics.com/brazil/inflation-cpi</w:t>
      </w:r>
    </w:p>
    <w:p w14:paraId="10AC4B5D"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O dado anual foi o mais elevado em sete meses, porém ainda abaixo das expectativas de mercado que projetavam 5,3%.</w:t>
      </w:r>
    </w:p>
    <w:p w14:paraId="3CD3E6E8"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Os principais itens que contribuíram, além de serviços conforme citado, foram os de transportes (1,40%) e combustíveis, em especial gasolina (2,8%) e diesel (10,11%).</w:t>
      </w:r>
    </w:p>
    <w:p w14:paraId="284E2DFF" w14:textId="77777777" w:rsidR="008557E5"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No grupo deflacionário de alimentação, o item que ganhou destaque nessa jogou a favor dessa deflação foi a batata-inglesa (-10,41%), cebola (-8,08%), além do ovo, leite, e carne, com quedas de -4,96%, -4,06%, e -2,10% respectivamente.</w:t>
      </w:r>
    </w:p>
    <w:p w14:paraId="5A474FB3" w14:textId="77777777" w:rsidR="008557E5" w:rsidRPr="00664642" w:rsidRDefault="008557E5" w:rsidP="008557E5">
      <w:pPr>
        <w:spacing w:before="0" w:after="160" w:line="259" w:lineRule="auto"/>
        <w:jc w:val="left"/>
        <w:rPr>
          <w:rFonts w:asciiTheme="minorHAnsi" w:hAnsiTheme="minorHAnsi" w:cstheme="minorHAnsi"/>
          <w:color w:val="auto"/>
          <w:sz w:val="16"/>
          <w:szCs w:val="16"/>
        </w:rPr>
      </w:pPr>
    </w:p>
    <w:p w14:paraId="7CC96B7A"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PMI</w:t>
      </w:r>
    </w:p>
    <w:p w14:paraId="562D2546"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Contudo, as expectativas futuras representadas através do PMI trouxeram um abalo nas análises. O PMI de serviços registrou o menor desempenho desde maio de 2021, entrando em campo contracionista aos 48,70 pontos em setembro, ante 50,60 do mês anterior.</w:t>
      </w:r>
    </w:p>
    <w:p w14:paraId="1CFBD54F"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drawing>
          <wp:anchor distT="0" distB="0" distL="114300" distR="114300" simplePos="0" relativeHeight="251684864" behindDoc="0" locked="0" layoutInCell="1" allowOverlap="1" wp14:anchorId="56355D4E" wp14:editId="584968FA">
            <wp:simplePos x="0" y="0"/>
            <wp:positionH relativeFrom="column">
              <wp:posOffset>226060</wp:posOffset>
            </wp:positionH>
            <wp:positionV relativeFrom="paragraph">
              <wp:posOffset>332740</wp:posOffset>
            </wp:positionV>
            <wp:extent cx="5006774" cy="2415749"/>
            <wp:effectExtent l="0" t="0" r="3810" b="3810"/>
            <wp:wrapSquare wrapText="bothSides"/>
            <wp:docPr id="415234933" name="Picture 1" descr="A graph of a number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234933" name="Picture 1" descr="A graph of a number of blue bars&#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5006774" cy="2415749"/>
                    </a:xfrm>
                    <a:prstGeom prst="rect">
                      <a:avLst/>
                    </a:prstGeom>
                  </pic:spPr>
                </pic:pic>
              </a:graphicData>
            </a:graphic>
          </wp:anchor>
        </w:drawing>
      </w:r>
      <w:r w:rsidRPr="00664642">
        <w:rPr>
          <w:rFonts w:asciiTheme="minorHAnsi" w:hAnsiTheme="minorHAnsi" w:cstheme="minorHAnsi"/>
          <w:sz w:val="16"/>
          <w:szCs w:val="16"/>
        </w:rPr>
        <w:t>PMI serviços – Brasil:</w:t>
      </w:r>
    </w:p>
    <w:p w14:paraId="0432FA3D"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https://tradingeconomics.com/brazil/services-pmi</w:t>
      </w:r>
    </w:p>
    <w:p w14:paraId="32B6B507" w14:textId="77777777" w:rsidR="008557E5" w:rsidRPr="00664642" w:rsidRDefault="008557E5" w:rsidP="008557E5">
      <w:pPr>
        <w:rPr>
          <w:rFonts w:asciiTheme="minorHAnsi" w:hAnsiTheme="minorHAnsi" w:cstheme="minorHAnsi"/>
          <w:sz w:val="16"/>
          <w:szCs w:val="16"/>
          <w:highlight w:val="yellow"/>
        </w:rPr>
      </w:pPr>
      <w:r w:rsidRPr="00664642">
        <w:rPr>
          <w:rFonts w:asciiTheme="minorHAnsi" w:hAnsiTheme="minorHAnsi" w:cstheme="minorHAnsi"/>
          <w:sz w:val="16"/>
          <w:szCs w:val="16"/>
        </w:rPr>
        <w:t>Na contramão da recuperação do mês anterior, o setor industrial voltou a registrar contração aos 49 pontos, após uma recuperação e visão neutra futura do mês de agosto aos 50,1.</w:t>
      </w:r>
    </w:p>
    <w:p w14:paraId="264B903B"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noProof/>
          <w:sz w:val="16"/>
          <w:szCs w:val="16"/>
          <w:lang w:eastAsia="pt-BR"/>
        </w:rPr>
        <w:lastRenderedPageBreak/>
        <w:drawing>
          <wp:anchor distT="0" distB="0" distL="114300" distR="114300" simplePos="0" relativeHeight="251685888" behindDoc="0" locked="0" layoutInCell="1" allowOverlap="1" wp14:anchorId="134D3164" wp14:editId="136C7264">
            <wp:simplePos x="0" y="0"/>
            <wp:positionH relativeFrom="column">
              <wp:posOffset>332740</wp:posOffset>
            </wp:positionH>
            <wp:positionV relativeFrom="paragraph">
              <wp:posOffset>255270</wp:posOffset>
            </wp:positionV>
            <wp:extent cx="5006774" cy="2408129"/>
            <wp:effectExtent l="0" t="0" r="3810" b="0"/>
            <wp:wrapSquare wrapText="bothSides"/>
            <wp:docPr id="1762333399" name="Picture 1" descr="A graph of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333399" name="Picture 1" descr="A graph of a bar chart&#10;&#10;Description automatically generated with medium confidence"/>
                    <pic:cNvPicPr/>
                  </pic:nvPicPr>
                  <pic:blipFill>
                    <a:blip r:embed="rId41">
                      <a:extLst>
                        <a:ext uri="{28A0092B-C50C-407E-A947-70E740481C1C}">
                          <a14:useLocalDpi xmlns:a14="http://schemas.microsoft.com/office/drawing/2010/main" val="0"/>
                        </a:ext>
                      </a:extLst>
                    </a:blip>
                    <a:stretch>
                      <a:fillRect/>
                    </a:stretch>
                  </pic:blipFill>
                  <pic:spPr>
                    <a:xfrm>
                      <a:off x="0" y="0"/>
                      <a:ext cx="5006774" cy="2408129"/>
                    </a:xfrm>
                    <a:prstGeom prst="rect">
                      <a:avLst/>
                    </a:prstGeom>
                  </pic:spPr>
                </pic:pic>
              </a:graphicData>
            </a:graphic>
          </wp:anchor>
        </w:drawing>
      </w:r>
      <w:r w:rsidRPr="00664642">
        <w:rPr>
          <w:rFonts w:asciiTheme="minorHAnsi" w:hAnsiTheme="minorHAnsi" w:cstheme="minorHAnsi"/>
          <w:sz w:val="16"/>
          <w:szCs w:val="16"/>
        </w:rPr>
        <w:t>PMI industrial – Brasil:</w:t>
      </w:r>
    </w:p>
    <w:p w14:paraId="3BE8F43C" w14:textId="77777777" w:rsidR="008557E5" w:rsidRPr="00664642"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Fonte: https://tradingeconomics.com/brazil/manufacturing-pmi</w:t>
      </w:r>
    </w:p>
    <w:p w14:paraId="72EE829A" w14:textId="77777777" w:rsidR="008557E5"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Na consolidação, o PMI composto voltou para o patamar contracionista registrando 49 pontos ante 50,6 em agosto.</w:t>
      </w:r>
    </w:p>
    <w:p w14:paraId="431541DC" w14:textId="77777777" w:rsidR="008557E5" w:rsidRPr="00664642" w:rsidRDefault="008557E5" w:rsidP="008557E5">
      <w:pPr>
        <w:spacing w:before="0" w:after="160" w:line="259" w:lineRule="auto"/>
        <w:jc w:val="left"/>
        <w:rPr>
          <w:rFonts w:asciiTheme="minorHAnsi" w:hAnsiTheme="minorHAnsi" w:cstheme="minorHAnsi"/>
          <w:sz w:val="16"/>
          <w:szCs w:val="16"/>
        </w:rPr>
      </w:pPr>
    </w:p>
    <w:p w14:paraId="218C6EC3" w14:textId="77777777" w:rsidR="008557E5" w:rsidRPr="00664642" w:rsidRDefault="008557E5" w:rsidP="008557E5">
      <w:pPr>
        <w:jc w:val="center"/>
        <w:rPr>
          <w:rFonts w:asciiTheme="minorHAnsi" w:hAnsiTheme="minorHAnsi" w:cstheme="minorHAnsi"/>
          <w:sz w:val="16"/>
          <w:szCs w:val="16"/>
        </w:rPr>
      </w:pPr>
      <w:r w:rsidRPr="00664642">
        <w:rPr>
          <w:rFonts w:asciiTheme="minorHAnsi" w:hAnsiTheme="minorHAnsi" w:cstheme="minorHAnsi"/>
          <w:sz w:val="16"/>
          <w:szCs w:val="16"/>
        </w:rPr>
        <w:t>PMI composto – Brasil:</w:t>
      </w:r>
    </w:p>
    <w:p w14:paraId="23820084"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noProof/>
          <w:sz w:val="16"/>
          <w:szCs w:val="16"/>
          <w:lang w:eastAsia="pt-BR"/>
        </w:rPr>
        <w:drawing>
          <wp:inline distT="0" distB="0" distL="0" distR="0" wp14:anchorId="426D2E7C" wp14:editId="719D21D0">
            <wp:extent cx="5014395" cy="2438611"/>
            <wp:effectExtent l="0" t="0" r="0" b="0"/>
            <wp:docPr id="1716034601" name="Picture 1"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034601" name="Picture 1" descr="A graph of a graph&#10;&#10;Description automatically generated with medium confidence"/>
                    <pic:cNvPicPr/>
                  </pic:nvPicPr>
                  <pic:blipFill>
                    <a:blip r:embed="rId42"/>
                    <a:stretch>
                      <a:fillRect/>
                    </a:stretch>
                  </pic:blipFill>
                  <pic:spPr>
                    <a:xfrm>
                      <a:off x="0" y="0"/>
                      <a:ext cx="5014395" cy="2438611"/>
                    </a:xfrm>
                    <a:prstGeom prst="rect">
                      <a:avLst/>
                    </a:prstGeom>
                  </pic:spPr>
                </pic:pic>
              </a:graphicData>
            </a:graphic>
          </wp:inline>
        </w:drawing>
      </w:r>
    </w:p>
    <w:p w14:paraId="4D5A7AFB" w14:textId="77777777" w:rsidR="008557E5" w:rsidRDefault="008557E5" w:rsidP="008557E5">
      <w:pPr>
        <w:rPr>
          <w:rFonts w:asciiTheme="minorHAnsi" w:hAnsiTheme="minorHAnsi" w:cstheme="minorHAnsi"/>
          <w:i/>
          <w:sz w:val="16"/>
          <w:szCs w:val="16"/>
        </w:rPr>
      </w:pPr>
      <w:r w:rsidRPr="00664642">
        <w:rPr>
          <w:rFonts w:asciiTheme="minorHAnsi" w:hAnsiTheme="minorHAnsi" w:cstheme="minorHAnsi"/>
          <w:i/>
          <w:sz w:val="16"/>
          <w:szCs w:val="16"/>
        </w:rPr>
        <w:t xml:space="preserve">Fonte: </w:t>
      </w:r>
      <w:hyperlink r:id="rId43" w:history="1">
        <w:r w:rsidRPr="007F143F">
          <w:rPr>
            <w:rStyle w:val="Hyperlink"/>
            <w:rFonts w:asciiTheme="minorHAnsi" w:hAnsiTheme="minorHAnsi" w:cstheme="minorHAnsi"/>
            <w:i/>
            <w:sz w:val="16"/>
            <w:szCs w:val="16"/>
          </w:rPr>
          <w:t>https://tradingeconomics.com/brazil/composite-pmi</w:t>
        </w:r>
      </w:hyperlink>
    </w:p>
    <w:p w14:paraId="232CBD69"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Câmbio</w:t>
      </w:r>
    </w:p>
    <w:p w14:paraId="066B30E7"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Dado as movimentações de curva de juros dos mercados citados, entre outros fatores, setembro fechou o último dia de cotação com o dólar a R$ 5,04, com uma alta de 1,80%</w:t>
      </w:r>
    </w:p>
    <w:p w14:paraId="593FB388" w14:textId="77777777" w:rsidR="008557E5" w:rsidRPr="00664642" w:rsidRDefault="008557E5" w:rsidP="008557E5">
      <w:pPr>
        <w:rPr>
          <w:rFonts w:asciiTheme="minorHAnsi" w:hAnsiTheme="minorHAnsi" w:cstheme="minorHAnsi"/>
          <w:color w:val="auto"/>
          <w:sz w:val="16"/>
          <w:szCs w:val="16"/>
          <w:highlight w:val="yellow"/>
        </w:rPr>
      </w:pPr>
      <w:r w:rsidRPr="00664642">
        <w:rPr>
          <w:rFonts w:asciiTheme="minorHAnsi" w:hAnsiTheme="minorHAnsi" w:cstheme="minorHAnsi"/>
          <w:sz w:val="16"/>
          <w:szCs w:val="16"/>
        </w:rPr>
        <w:t>Como já citado em outras oportunidades, a moeda norte americana vem exercendo pressão não somente sob o real brasileiro, mas sob a maioria das moedas estrangeiras e não somente a de países emergentes.</w:t>
      </w:r>
    </w:p>
    <w:p w14:paraId="7BD74949" w14:textId="77777777" w:rsidR="008557E5" w:rsidRPr="00664642" w:rsidRDefault="008557E5" w:rsidP="008557E5">
      <w:pPr>
        <w:rPr>
          <w:rFonts w:asciiTheme="minorHAnsi" w:hAnsiTheme="minorHAnsi" w:cstheme="minorHAnsi"/>
          <w:color w:val="auto"/>
          <w:sz w:val="16"/>
          <w:szCs w:val="16"/>
        </w:rPr>
      </w:pPr>
      <w:r w:rsidRPr="00664642">
        <w:rPr>
          <w:rFonts w:asciiTheme="minorHAnsi" w:hAnsiTheme="minorHAnsi" w:cstheme="minorHAnsi"/>
          <w:color w:val="auto"/>
          <w:sz w:val="16"/>
          <w:szCs w:val="16"/>
        </w:rPr>
        <w:t>Bolsa</w:t>
      </w:r>
    </w:p>
    <w:p w14:paraId="0D237068"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O resultado desse ritmo de abertura de curva de juros no exterior e no Brasil impactaram os ativos de renda variável, em especial na própria bolsa de valores representada pelo índice Ibovespa, que no mês de setembro andou praticamente de lado registrando variação de apenas 0,71% no mês. Resultado ainda que baixo, porém melhor do que o mercado estrangeiro.</w:t>
      </w:r>
    </w:p>
    <w:p w14:paraId="239BF510" w14:textId="77777777" w:rsidR="008557E5" w:rsidRPr="00664642" w:rsidRDefault="008557E5" w:rsidP="008557E5">
      <w:pPr>
        <w:rPr>
          <w:rFonts w:asciiTheme="minorHAnsi" w:hAnsiTheme="minorHAnsi" w:cstheme="minorHAnsi"/>
          <w:sz w:val="16"/>
          <w:szCs w:val="16"/>
        </w:rPr>
      </w:pPr>
      <w:r w:rsidRPr="00664642">
        <w:rPr>
          <w:rFonts w:asciiTheme="minorHAnsi" w:hAnsiTheme="minorHAnsi" w:cstheme="minorHAnsi"/>
          <w:sz w:val="16"/>
          <w:szCs w:val="16"/>
        </w:rPr>
        <w:t>No terceiro trimestre, o fechamento foi de queda de 1,29%.</w:t>
      </w:r>
    </w:p>
    <w:p w14:paraId="311531E4" w14:textId="77777777" w:rsidR="008557E5" w:rsidRDefault="008557E5" w:rsidP="008557E5">
      <w:pPr>
        <w:rPr>
          <w:rFonts w:asciiTheme="minorHAnsi" w:hAnsiTheme="minorHAnsi" w:cstheme="minorHAnsi"/>
          <w:sz w:val="16"/>
          <w:szCs w:val="16"/>
        </w:rPr>
      </w:pPr>
      <w:r w:rsidRPr="00664642">
        <w:rPr>
          <w:rFonts w:asciiTheme="minorHAnsi" w:hAnsiTheme="minorHAnsi" w:cstheme="minorHAnsi"/>
          <w:sz w:val="16"/>
          <w:szCs w:val="16"/>
        </w:rPr>
        <w:lastRenderedPageBreak/>
        <w:t>Em pontos, o índice fechou aos 116.565 pontos, após atingir máxima de 1,01% na cotação da sexta feira 29 de setembro aos 116.899 pontos. O pregão da sexta feira foi o responsável por deixar o fechamento mensal no verde, impulsionado pelo dado de inflação americano PCE (índice de preços de gastos com consumo) que veio melhor do que o esperado.</w:t>
      </w:r>
    </w:p>
    <w:p w14:paraId="1527D1D2" w14:textId="77777777" w:rsidR="008557E5" w:rsidRPr="00664642" w:rsidRDefault="008557E5" w:rsidP="008557E5">
      <w:pPr>
        <w:spacing w:before="0" w:after="160" w:line="259" w:lineRule="auto"/>
        <w:jc w:val="left"/>
        <w:rPr>
          <w:rFonts w:asciiTheme="minorHAnsi" w:hAnsiTheme="minorHAnsi" w:cstheme="minorHAnsi"/>
          <w:sz w:val="16"/>
          <w:szCs w:val="16"/>
          <w:highlight w:val="yellow"/>
        </w:rPr>
      </w:pPr>
    </w:p>
    <w:p w14:paraId="33A91E89" w14:textId="77777777" w:rsidR="008557E5" w:rsidRPr="002B6B41" w:rsidRDefault="008557E5" w:rsidP="008557E5">
      <w:pPr>
        <w:jc w:val="center"/>
        <w:rPr>
          <w:rFonts w:asciiTheme="minorHAnsi" w:hAnsiTheme="minorHAnsi" w:cstheme="minorHAnsi"/>
          <w:sz w:val="14"/>
          <w:szCs w:val="14"/>
        </w:rPr>
      </w:pPr>
      <w:r w:rsidRPr="002B6B41">
        <w:rPr>
          <w:rFonts w:asciiTheme="minorHAnsi" w:hAnsiTheme="minorHAnsi" w:cstheme="minorHAnsi"/>
          <w:noProof/>
          <w:sz w:val="14"/>
          <w:szCs w:val="14"/>
          <w:lang w:eastAsia="pt-BR"/>
        </w:rPr>
        <w:drawing>
          <wp:anchor distT="0" distB="0" distL="114300" distR="114300" simplePos="0" relativeHeight="251686912" behindDoc="0" locked="0" layoutInCell="1" allowOverlap="1" wp14:anchorId="34270F71" wp14:editId="598824A9">
            <wp:simplePos x="0" y="0"/>
            <wp:positionH relativeFrom="column">
              <wp:posOffset>50800</wp:posOffset>
            </wp:positionH>
            <wp:positionV relativeFrom="paragraph">
              <wp:posOffset>332740</wp:posOffset>
            </wp:positionV>
            <wp:extent cx="5319221" cy="2316681"/>
            <wp:effectExtent l="0" t="0" r="0" b="7620"/>
            <wp:wrapSquare wrapText="bothSides"/>
            <wp:docPr id="1644437146" name="Picture 1" descr="A green line graph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437146" name="Picture 1" descr="A green line graph with numbers&#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5319221" cy="2316681"/>
                    </a:xfrm>
                    <a:prstGeom prst="rect">
                      <a:avLst/>
                    </a:prstGeom>
                  </pic:spPr>
                </pic:pic>
              </a:graphicData>
            </a:graphic>
          </wp:anchor>
        </w:drawing>
      </w:r>
      <w:r w:rsidRPr="002B6B41">
        <w:rPr>
          <w:rFonts w:asciiTheme="minorHAnsi" w:hAnsiTheme="minorHAnsi" w:cstheme="minorHAnsi"/>
          <w:sz w:val="14"/>
          <w:szCs w:val="14"/>
        </w:rPr>
        <w:t>IBOVESPA – 2023:</w:t>
      </w:r>
    </w:p>
    <w:p w14:paraId="7A053EEA" w14:textId="77777777" w:rsidR="008557E5" w:rsidRPr="002B6B41" w:rsidRDefault="008557E5" w:rsidP="008557E5">
      <w:pPr>
        <w:rPr>
          <w:rFonts w:asciiTheme="minorHAnsi" w:hAnsiTheme="minorHAnsi" w:cstheme="minorHAnsi"/>
          <w:b/>
          <w:bCs/>
          <w:color w:val="auto"/>
          <w:sz w:val="14"/>
          <w:szCs w:val="14"/>
        </w:rPr>
      </w:pPr>
      <w:r w:rsidRPr="002B6B41">
        <w:rPr>
          <w:rFonts w:asciiTheme="minorHAnsi" w:hAnsiTheme="minorHAnsi" w:cstheme="minorHAnsi"/>
          <w:b/>
          <w:bCs/>
          <w:color w:val="auto"/>
          <w:sz w:val="14"/>
          <w:szCs w:val="14"/>
        </w:rPr>
        <w:t>Renda Fixa</w:t>
      </w:r>
    </w:p>
    <w:p w14:paraId="364B8C59" w14:textId="77777777" w:rsidR="008557E5" w:rsidRPr="002B6B41" w:rsidRDefault="008557E5" w:rsidP="008557E5">
      <w:pPr>
        <w:rPr>
          <w:rFonts w:asciiTheme="minorHAnsi" w:hAnsiTheme="minorHAnsi" w:cstheme="minorHAnsi"/>
          <w:sz w:val="14"/>
          <w:szCs w:val="14"/>
        </w:rPr>
      </w:pPr>
      <w:r w:rsidRPr="002B6B41">
        <w:rPr>
          <w:rFonts w:asciiTheme="minorHAnsi" w:hAnsiTheme="minorHAnsi" w:cstheme="minorHAnsi"/>
          <w:sz w:val="14"/>
          <w:szCs w:val="14"/>
        </w:rPr>
        <w:t>Nos índices ANBIMA, a curva de juros impactou os indicadores de renda fixa, tendo o IMA-B variado negativamente em -0,95%, o IMA–B 5 que variou 0,09% no mês, e o IMA-GERAL com 0,15%. O IMA-B 5+ registrou queda de -1,87% no mês, demonstrando grande volatilidade.</w:t>
      </w:r>
    </w:p>
    <w:p w14:paraId="0B53F732" w14:textId="77777777" w:rsidR="008557E5" w:rsidRPr="002B6B41" w:rsidRDefault="008557E5" w:rsidP="008557E5">
      <w:pPr>
        <w:rPr>
          <w:rFonts w:asciiTheme="minorHAnsi" w:hAnsiTheme="minorHAnsi" w:cstheme="minorHAnsi"/>
          <w:sz w:val="14"/>
          <w:szCs w:val="14"/>
        </w:rPr>
      </w:pPr>
      <w:r w:rsidRPr="002B6B41">
        <w:rPr>
          <w:rFonts w:asciiTheme="minorHAnsi" w:hAnsiTheme="minorHAnsi" w:cstheme="minorHAnsi"/>
          <w:sz w:val="14"/>
          <w:szCs w:val="14"/>
        </w:rPr>
        <w:t>Nos prefixados, o IRF-M 1 ficou com 0,89% no mês, o IRF-M 1+ em -0,15% e o IRF-M com 0,16%. A variação anual é de 10,06%, 12,82% e 11,62% respectivamente para cada benchmark.</w:t>
      </w:r>
    </w:p>
    <w:p w14:paraId="2F3EE9DE" w14:textId="77777777" w:rsidR="008557E5" w:rsidRPr="002B6B41" w:rsidRDefault="008557E5" w:rsidP="008557E5">
      <w:pPr>
        <w:rPr>
          <w:rFonts w:asciiTheme="minorHAnsi" w:hAnsiTheme="minorHAnsi" w:cstheme="minorHAnsi"/>
          <w:sz w:val="14"/>
          <w:szCs w:val="14"/>
        </w:rPr>
      </w:pPr>
      <w:r w:rsidRPr="002B6B41">
        <w:rPr>
          <w:rFonts w:asciiTheme="minorHAnsi" w:hAnsiTheme="minorHAnsi" w:cstheme="minorHAnsi"/>
          <w:sz w:val="14"/>
          <w:szCs w:val="14"/>
        </w:rPr>
        <w:t>Quanto aos índices de prazos constantes, IDKA-Pré 2a teve variação de 0,15% no mês e 12,17% no ano enquanto o IDKA-IPCA 2a obteve 0,22% no mês e 8,97% no ano.</w:t>
      </w:r>
    </w:p>
    <w:p w14:paraId="1B9EC60A" w14:textId="77777777" w:rsidR="008557E5" w:rsidRPr="002B6B41" w:rsidRDefault="008557E5" w:rsidP="008557E5">
      <w:pPr>
        <w:rPr>
          <w:rFonts w:asciiTheme="minorHAnsi" w:hAnsiTheme="minorHAnsi" w:cstheme="minorHAnsi"/>
          <w:b/>
          <w:color w:val="auto"/>
          <w:sz w:val="14"/>
          <w:szCs w:val="14"/>
        </w:rPr>
      </w:pPr>
      <w:r w:rsidRPr="002B6B41">
        <w:rPr>
          <w:rFonts w:asciiTheme="minorHAnsi" w:hAnsiTheme="minorHAnsi" w:cstheme="minorHAnsi"/>
          <w:b/>
          <w:color w:val="auto"/>
          <w:sz w:val="14"/>
          <w:szCs w:val="14"/>
        </w:rPr>
        <w:t>CONCLUSÃO E PERSPECTIVAS</w:t>
      </w:r>
    </w:p>
    <w:p w14:paraId="35201FB0" w14:textId="77777777" w:rsidR="008557E5" w:rsidRPr="002B6B41" w:rsidRDefault="008557E5" w:rsidP="008557E5">
      <w:pPr>
        <w:rPr>
          <w:rFonts w:asciiTheme="minorHAnsi" w:hAnsiTheme="minorHAnsi" w:cstheme="minorHAnsi"/>
          <w:sz w:val="14"/>
          <w:szCs w:val="14"/>
        </w:rPr>
      </w:pPr>
      <w:r w:rsidRPr="002B6B41">
        <w:rPr>
          <w:rFonts w:asciiTheme="minorHAnsi" w:hAnsiTheme="minorHAnsi" w:cstheme="minorHAnsi"/>
          <w:sz w:val="14"/>
          <w:szCs w:val="14"/>
        </w:rPr>
        <w:t>Em linha com e preocupação com a trajetória fiscal, o mercado segue preocupado e atento frente a possibilidade de votação do projeto de lei referente a tributação de fundos exclusivos e offshore.</w:t>
      </w:r>
    </w:p>
    <w:p w14:paraId="2C6C634D" w14:textId="77777777" w:rsidR="008557E5" w:rsidRPr="002B6B41" w:rsidRDefault="008557E5" w:rsidP="008557E5">
      <w:pPr>
        <w:rPr>
          <w:rFonts w:asciiTheme="minorHAnsi" w:hAnsiTheme="minorHAnsi" w:cstheme="minorHAnsi"/>
          <w:sz w:val="14"/>
          <w:szCs w:val="14"/>
        </w:rPr>
      </w:pPr>
      <w:r w:rsidRPr="002B6B41">
        <w:rPr>
          <w:rFonts w:asciiTheme="minorHAnsi" w:hAnsiTheme="minorHAnsi" w:cstheme="minorHAnsi"/>
          <w:sz w:val="14"/>
          <w:szCs w:val="14"/>
        </w:rPr>
        <w:t>O governo, para fechar as contas no azul, não parece querer adotar medidas para enxugamento dos gastos, portanto, a solução criada passa a ser a de maximizar a receita através da otimização de arrecadação tributária.</w:t>
      </w:r>
    </w:p>
    <w:p w14:paraId="552A5BEF" w14:textId="77777777" w:rsidR="008557E5" w:rsidRPr="002B6B41" w:rsidRDefault="008557E5" w:rsidP="008557E5">
      <w:pPr>
        <w:rPr>
          <w:rFonts w:asciiTheme="minorHAnsi" w:hAnsiTheme="minorHAnsi" w:cstheme="minorHAnsi"/>
          <w:sz w:val="14"/>
          <w:szCs w:val="14"/>
        </w:rPr>
      </w:pPr>
      <w:r w:rsidRPr="002B6B41">
        <w:rPr>
          <w:rFonts w:asciiTheme="minorHAnsi" w:hAnsiTheme="minorHAnsi" w:cstheme="minorHAnsi"/>
          <w:sz w:val="14"/>
          <w:szCs w:val="14"/>
        </w:rPr>
        <w:t>A efetividade e os efeitos dessas novas medidas devem ser sentidos de maneira mista ao longo dos meses.</w:t>
      </w:r>
    </w:p>
    <w:p w14:paraId="5515CD4B" w14:textId="36EBC731" w:rsidR="008557E5" w:rsidRPr="002B6B41" w:rsidRDefault="008557E5" w:rsidP="008557E5">
      <w:pPr>
        <w:rPr>
          <w:rFonts w:asciiTheme="minorHAnsi" w:hAnsiTheme="minorHAnsi" w:cstheme="minorHAnsi"/>
          <w:sz w:val="14"/>
          <w:szCs w:val="14"/>
        </w:rPr>
      </w:pPr>
      <w:r w:rsidRPr="002B6B41">
        <w:rPr>
          <w:rFonts w:asciiTheme="minorHAnsi" w:hAnsiTheme="minorHAnsi" w:cstheme="minorHAnsi"/>
          <w:sz w:val="14"/>
          <w:szCs w:val="14"/>
        </w:rPr>
        <w:t>Para o exterior, é esperado a manutenção do atual nível de juros por um período mais longo do que o inicialmente planejado e</w:t>
      </w:r>
      <w:r w:rsidR="00773CF6">
        <w:rPr>
          <w:rFonts w:asciiTheme="minorHAnsi" w:hAnsiTheme="minorHAnsi" w:cstheme="minorHAnsi"/>
          <w:sz w:val="14"/>
          <w:szCs w:val="14"/>
        </w:rPr>
        <w:t>,</w:t>
      </w:r>
      <w:r w:rsidRPr="002B6B41">
        <w:rPr>
          <w:rFonts w:asciiTheme="minorHAnsi" w:hAnsiTheme="minorHAnsi" w:cstheme="minorHAnsi"/>
          <w:sz w:val="14"/>
          <w:szCs w:val="14"/>
        </w:rPr>
        <w:t xml:space="preserve"> portanto, trazendo desafio para as moedas dos demais países, e o fortalecimento do dólar.</w:t>
      </w:r>
    </w:p>
    <w:p w14:paraId="40719E8C" w14:textId="77777777" w:rsidR="008557E5" w:rsidRPr="002B6B41" w:rsidRDefault="008557E5" w:rsidP="008557E5">
      <w:pPr>
        <w:rPr>
          <w:rFonts w:asciiTheme="minorHAnsi" w:hAnsiTheme="minorHAnsi" w:cstheme="minorHAnsi"/>
          <w:sz w:val="14"/>
          <w:szCs w:val="14"/>
        </w:rPr>
      </w:pPr>
      <w:r w:rsidRPr="002B6B41">
        <w:rPr>
          <w:rFonts w:asciiTheme="minorHAnsi" w:hAnsiTheme="minorHAnsi" w:cstheme="minorHAnsi"/>
          <w:sz w:val="14"/>
          <w:szCs w:val="14"/>
        </w:rPr>
        <w:t xml:space="preserve">No radar, é válido se manter informado e monitorando todos os indicadores que podem antecipar os movimentos do Federal Reserve. </w:t>
      </w:r>
    </w:p>
    <w:p w14:paraId="61DC34B4" w14:textId="77777777" w:rsidR="008557E5" w:rsidRPr="002B6B41" w:rsidRDefault="008557E5" w:rsidP="008557E5">
      <w:pPr>
        <w:rPr>
          <w:rFonts w:asciiTheme="minorHAnsi" w:hAnsiTheme="minorHAnsi" w:cstheme="minorHAnsi"/>
          <w:sz w:val="14"/>
          <w:szCs w:val="14"/>
        </w:rPr>
      </w:pPr>
      <w:r w:rsidRPr="002B6B41">
        <w:rPr>
          <w:rFonts w:asciiTheme="minorHAnsi" w:hAnsiTheme="minorHAnsi" w:cstheme="minorHAnsi"/>
          <w:sz w:val="14"/>
          <w:szCs w:val="14"/>
        </w:rPr>
        <w:t>Em especial, os indicadores de inflação (através do PCE, principal indicador utilizado pelo FED), além dos indicadores do mercado de trabalho, como índice Jolts e Nonfarm Payroll, além dos indicadores de crescimento econômico.</w:t>
      </w:r>
    </w:p>
    <w:p w14:paraId="57DEC10B" w14:textId="77777777" w:rsidR="008557E5" w:rsidRDefault="008557E5" w:rsidP="008557E5">
      <w:pPr>
        <w:rPr>
          <w:rFonts w:asciiTheme="minorHAnsi" w:hAnsiTheme="minorHAnsi" w:cstheme="minorHAnsi"/>
          <w:sz w:val="14"/>
          <w:szCs w:val="14"/>
        </w:rPr>
      </w:pPr>
      <w:r w:rsidRPr="002B6B41">
        <w:rPr>
          <w:rFonts w:asciiTheme="minorHAnsi" w:hAnsiTheme="minorHAnsi" w:cstheme="minorHAnsi"/>
          <w:sz w:val="14"/>
          <w:szCs w:val="14"/>
        </w:rPr>
        <w:t>Nas últimas semanas de outubro, teremos a divulgação do PMI de diversos países, além dos dados de desemprego da Inglaterra, dado de venda de imóveis nos EUA, PCE dos EUA, IPCA-15 de outubro no dia 25, entre outros acontecimentos.</w:t>
      </w:r>
    </w:p>
    <w:p w14:paraId="4C91753C" w14:textId="77777777" w:rsidR="00500AE2" w:rsidRPr="00A92A3E" w:rsidRDefault="00500AE2" w:rsidP="00CE7530">
      <w:pPr>
        <w:pStyle w:val="Ttulo1"/>
        <w:rPr>
          <w:rFonts w:asciiTheme="minorHAnsi" w:hAnsiTheme="minorHAnsi" w:cstheme="minorHAnsi"/>
          <w:sz w:val="16"/>
          <w:szCs w:val="16"/>
        </w:rPr>
      </w:pPr>
      <w:bookmarkStart w:id="35" w:name="_Toc150330293"/>
      <w:r w:rsidRPr="00A92A3E">
        <w:rPr>
          <w:rFonts w:asciiTheme="minorHAnsi" w:hAnsiTheme="minorHAnsi" w:cstheme="minorHAnsi"/>
          <w:sz w:val="16"/>
          <w:szCs w:val="16"/>
        </w:rPr>
        <w:t>ALOCAÇÃO ESTRATÉGICA DOS RECURSOS</w:t>
      </w:r>
      <w:bookmarkEnd w:id="34"/>
      <w:bookmarkEnd w:id="35"/>
    </w:p>
    <w:p w14:paraId="034B5A37" w14:textId="58A131DF" w:rsidR="00500AE2" w:rsidRPr="00A92A3E" w:rsidRDefault="00024DC1" w:rsidP="00500AE2">
      <w:pPr>
        <w:rPr>
          <w:rFonts w:asciiTheme="minorHAnsi" w:hAnsiTheme="minorHAnsi" w:cstheme="minorHAnsi"/>
          <w:bCs/>
          <w:sz w:val="16"/>
          <w:szCs w:val="16"/>
        </w:rPr>
      </w:pPr>
      <w:r w:rsidRPr="00A92A3E">
        <w:rPr>
          <w:rFonts w:asciiTheme="minorHAnsi" w:hAnsiTheme="minorHAnsi" w:cstheme="minorHAnsi"/>
          <w:bCs/>
          <w:sz w:val="16"/>
          <w:szCs w:val="16"/>
        </w:rPr>
        <w:t>O</w:t>
      </w:r>
      <w:r w:rsidR="00500AE2" w:rsidRPr="00A92A3E">
        <w:rPr>
          <w:rFonts w:asciiTheme="minorHAnsi" w:hAnsiTheme="minorHAnsi" w:cstheme="minorHAnsi"/>
          <w:bCs/>
          <w:sz w:val="16"/>
          <w:szCs w:val="16"/>
        </w:rPr>
        <w:t xml:space="preserve">s responsáveis pela gestão das aplicações dos recursos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00500AE2" w:rsidRPr="00A92A3E">
        <w:rPr>
          <w:rFonts w:asciiTheme="minorHAnsi" w:hAnsiTheme="minorHAnsi" w:cstheme="minorHAnsi"/>
          <w:bCs/>
          <w:sz w:val="16"/>
          <w:szCs w:val="16"/>
        </w:rPr>
        <w:t xml:space="preserve">devem observar os limites e critérios estabelecidos nesta Política de Investimentos, na Resolução CMN nº 4.963/2021 e qualquer outro ato normativo relacionado ao tema, emitido pelos órgãos </w:t>
      </w:r>
      <w:r w:rsidR="00221548" w:rsidRPr="00A92A3E">
        <w:rPr>
          <w:rFonts w:asciiTheme="minorHAnsi" w:hAnsiTheme="minorHAnsi" w:cstheme="minorHAnsi"/>
          <w:bCs/>
          <w:sz w:val="16"/>
          <w:szCs w:val="16"/>
        </w:rPr>
        <w:t>de fiscalização e orientação</w:t>
      </w:r>
      <w:r w:rsidR="00500AE2" w:rsidRPr="00A92A3E">
        <w:rPr>
          <w:rFonts w:asciiTheme="minorHAnsi" w:hAnsiTheme="minorHAnsi" w:cstheme="minorHAnsi"/>
          <w:bCs/>
          <w:sz w:val="16"/>
          <w:szCs w:val="16"/>
        </w:rPr>
        <w:t>.</w:t>
      </w:r>
    </w:p>
    <w:p w14:paraId="7CD0942B" w14:textId="2DB21B44" w:rsidR="00500AE2"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A estratégia de alocação dos recursos para os próximos cinco anos, leva em consideração não somente o cenário macroeconômico como também as especificidades da estratégia definida pelo resultado da análise do fluxo de caixa atuarial e </w:t>
      </w:r>
      <w:r w:rsidR="00731137" w:rsidRPr="00A92A3E">
        <w:rPr>
          <w:rFonts w:asciiTheme="minorHAnsi" w:hAnsiTheme="minorHAnsi" w:cstheme="minorHAnsi"/>
          <w:bCs/>
          <w:sz w:val="16"/>
          <w:szCs w:val="16"/>
        </w:rPr>
        <w:t>d</w:t>
      </w:r>
      <w:r w:rsidRPr="00A92A3E">
        <w:rPr>
          <w:rFonts w:asciiTheme="minorHAnsi" w:hAnsiTheme="minorHAnsi" w:cstheme="minorHAnsi"/>
          <w:bCs/>
          <w:sz w:val="16"/>
          <w:szCs w:val="16"/>
        </w:rPr>
        <w:t>as projeções futuras de déficit e/ou superávit.</w:t>
      </w:r>
    </w:p>
    <w:p w14:paraId="24CCBD4C" w14:textId="0E50F6E0" w:rsidR="00A92A3E" w:rsidRDefault="00A92A3E" w:rsidP="00500AE2">
      <w:pPr>
        <w:rPr>
          <w:rFonts w:asciiTheme="minorHAnsi" w:hAnsiTheme="minorHAnsi" w:cstheme="minorHAnsi"/>
          <w:bCs/>
          <w:sz w:val="16"/>
          <w:szCs w:val="16"/>
        </w:rPr>
      </w:pPr>
    </w:p>
    <w:p w14:paraId="531BAC11" w14:textId="67A4E6F5" w:rsidR="00A92A3E" w:rsidRDefault="00A92A3E" w:rsidP="00500AE2">
      <w:pPr>
        <w:rPr>
          <w:rFonts w:asciiTheme="minorHAnsi" w:hAnsiTheme="minorHAnsi" w:cstheme="minorHAnsi"/>
          <w:bCs/>
          <w:sz w:val="16"/>
          <w:szCs w:val="16"/>
        </w:rPr>
      </w:pPr>
    </w:p>
    <w:p w14:paraId="3C3D3C97" w14:textId="144A42CD" w:rsidR="00A92A3E" w:rsidRDefault="00A92A3E" w:rsidP="00500AE2">
      <w:pPr>
        <w:rPr>
          <w:rFonts w:asciiTheme="minorHAnsi" w:hAnsiTheme="minorHAnsi" w:cstheme="minorHAnsi"/>
          <w:bCs/>
          <w:sz w:val="16"/>
          <w:szCs w:val="16"/>
        </w:rPr>
      </w:pPr>
    </w:p>
    <w:p w14:paraId="7FF1730F" w14:textId="6CD7F651" w:rsidR="00A92A3E" w:rsidRDefault="00A92A3E" w:rsidP="00500AE2">
      <w:pPr>
        <w:rPr>
          <w:rFonts w:asciiTheme="minorHAnsi" w:hAnsiTheme="minorHAnsi" w:cstheme="minorHAnsi"/>
          <w:bCs/>
          <w:sz w:val="16"/>
          <w:szCs w:val="16"/>
        </w:rPr>
      </w:pPr>
    </w:p>
    <w:p w14:paraId="68D12B8F" w14:textId="0DB31DC3" w:rsidR="00500AE2" w:rsidRDefault="00500AE2" w:rsidP="00500AE2">
      <w:pPr>
        <w:spacing w:beforeLines="120" w:before="288" w:after="0"/>
        <w:jc w:val="center"/>
        <w:rPr>
          <w:rFonts w:asciiTheme="minorHAnsi" w:hAnsiTheme="minorHAnsi" w:cstheme="minorHAnsi"/>
          <w:b/>
          <w:bCs/>
          <w:sz w:val="16"/>
          <w:szCs w:val="16"/>
        </w:rPr>
      </w:pPr>
      <w:r w:rsidRPr="00A92A3E">
        <w:rPr>
          <w:rFonts w:asciiTheme="minorHAnsi" w:hAnsiTheme="minorHAnsi" w:cstheme="minorHAnsi"/>
          <w:b/>
          <w:bCs/>
          <w:sz w:val="16"/>
          <w:szCs w:val="16"/>
        </w:rPr>
        <w:t>Alocação Estratégica para o exercício de 202</w:t>
      </w:r>
      <w:r w:rsidR="00572829" w:rsidRPr="00A92A3E">
        <w:rPr>
          <w:rFonts w:asciiTheme="minorHAnsi" w:hAnsiTheme="minorHAnsi" w:cstheme="minorHAnsi"/>
          <w:b/>
          <w:bCs/>
          <w:sz w:val="16"/>
          <w:szCs w:val="16"/>
        </w:rPr>
        <w:t>4</w:t>
      </w:r>
    </w:p>
    <w:tbl>
      <w:tblPr>
        <w:tblW w:w="5526" w:type="pct"/>
        <w:tblCellMar>
          <w:left w:w="70" w:type="dxa"/>
          <w:right w:w="70" w:type="dxa"/>
        </w:tblCellMar>
        <w:tblLook w:val="04A0" w:firstRow="1" w:lastRow="0" w:firstColumn="1" w:lastColumn="0" w:noHBand="0" w:noVBand="1"/>
      </w:tblPr>
      <w:tblGrid>
        <w:gridCol w:w="1136"/>
        <w:gridCol w:w="1350"/>
        <w:gridCol w:w="954"/>
        <w:gridCol w:w="1254"/>
        <w:gridCol w:w="772"/>
        <w:gridCol w:w="698"/>
        <w:gridCol w:w="918"/>
        <w:gridCol w:w="805"/>
        <w:gridCol w:w="698"/>
        <w:gridCol w:w="803"/>
      </w:tblGrid>
      <w:tr w:rsidR="0022573F" w:rsidRPr="0022573F" w14:paraId="0975ABC0" w14:textId="77777777" w:rsidTr="0022573F">
        <w:trPr>
          <w:trHeight w:val="412"/>
        </w:trPr>
        <w:tc>
          <w:tcPr>
            <w:tcW w:w="606" w:type="pct"/>
            <w:tcBorders>
              <w:top w:val="nil"/>
              <w:left w:val="nil"/>
              <w:bottom w:val="single" w:sz="8" w:space="0" w:color="auto"/>
              <w:right w:val="nil"/>
            </w:tcBorders>
            <w:shd w:val="clear" w:color="auto" w:fill="auto"/>
            <w:vAlign w:val="center"/>
            <w:hideMark/>
          </w:tcPr>
          <w:p w14:paraId="495A4042" w14:textId="77777777" w:rsidR="0022573F" w:rsidRPr="0022573F" w:rsidRDefault="0022573F" w:rsidP="0022573F">
            <w:pPr>
              <w:spacing w:before="0" w:after="0"/>
              <w:jc w:val="center"/>
              <w:rPr>
                <w:rFonts w:ascii="Arial" w:eastAsia="Times New Roman" w:hAnsi="Arial" w:cs="Arial"/>
                <w:b/>
                <w:bCs/>
                <w:color w:val="000000"/>
                <w:sz w:val="24"/>
                <w:szCs w:val="24"/>
                <w:lang w:eastAsia="pt-BR"/>
              </w:rPr>
            </w:pPr>
            <w:r w:rsidRPr="0022573F">
              <w:rPr>
                <w:rFonts w:ascii="Arial" w:eastAsia="Times New Roman" w:hAnsi="Arial" w:cs="Arial"/>
                <w:b/>
                <w:bCs/>
                <w:color w:val="000000"/>
                <w:sz w:val="24"/>
                <w:szCs w:val="24"/>
                <w:lang w:eastAsia="pt-BR"/>
              </w:rPr>
              <w:t> </w:t>
            </w:r>
            <w:r w:rsidRPr="0022573F">
              <w:rPr>
                <w:rFonts w:ascii="Times New Roman" w:eastAsia="Times New Roman" w:hAnsi="Times New Roman" w:cs="Times New Roman"/>
                <w:b/>
                <w:bCs/>
                <w:color w:val="000000"/>
                <w:sz w:val="24"/>
                <w:szCs w:val="24"/>
                <w:lang w:eastAsia="pt-BR"/>
              </w:rPr>
              <w:t xml:space="preserve"> </w:t>
            </w:r>
          </w:p>
        </w:tc>
        <w:tc>
          <w:tcPr>
            <w:tcW w:w="720" w:type="pct"/>
            <w:tcBorders>
              <w:top w:val="nil"/>
              <w:left w:val="nil"/>
              <w:bottom w:val="single" w:sz="8" w:space="0" w:color="auto"/>
              <w:right w:val="nil"/>
            </w:tcBorders>
            <w:shd w:val="clear" w:color="auto" w:fill="auto"/>
            <w:vAlign w:val="center"/>
            <w:hideMark/>
          </w:tcPr>
          <w:p w14:paraId="266002D6" w14:textId="77777777" w:rsidR="0022573F" w:rsidRPr="0022573F" w:rsidRDefault="0022573F" w:rsidP="0022573F">
            <w:pPr>
              <w:spacing w:before="0" w:after="0"/>
              <w:jc w:val="center"/>
              <w:rPr>
                <w:rFonts w:ascii="Arial" w:eastAsia="Times New Roman" w:hAnsi="Arial" w:cs="Arial"/>
                <w:b/>
                <w:bCs/>
                <w:color w:val="000000"/>
                <w:sz w:val="24"/>
                <w:szCs w:val="24"/>
                <w:lang w:eastAsia="pt-BR"/>
              </w:rPr>
            </w:pPr>
            <w:r w:rsidRPr="0022573F">
              <w:rPr>
                <w:rFonts w:ascii="Arial" w:eastAsia="Times New Roman" w:hAnsi="Arial" w:cs="Arial"/>
                <w:b/>
                <w:bCs/>
                <w:color w:val="000000"/>
                <w:sz w:val="24"/>
                <w:szCs w:val="24"/>
                <w:lang w:eastAsia="pt-BR"/>
              </w:rPr>
              <w:t> </w:t>
            </w:r>
            <w:r w:rsidRPr="0022573F">
              <w:rPr>
                <w:rFonts w:ascii="Times New Roman" w:eastAsia="Times New Roman" w:hAnsi="Times New Roman" w:cs="Times New Roman"/>
                <w:b/>
                <w:bCs/>
                <w:color w:val="000000"/>
                <w:sz w:val="24"/>
                <w:szCs w:val="24"/>
                <w:lang w:eastAsia="pt-BR"/>
              </w:rPr>
              <w:t xml:space="preserve"> </w:t>
            </w:r>
          </w:p>
        </w:tc>
        <w:tc>
          <w:tcPr>
            <w:tcW w:w="509" w:type="pct"/>
            <w:tcBorders>
              <w:top w:val="nil"/>
              <w:left w:val="nil"/>
              <w:bottom w:val="single" w:sz="8" w:space="0" w:color="auto"/>
              <w:right w:val="nil"/>
            </w:tcBorders>
            <w:shd w:val="clear" w:color="auto" w:fill="auto"/>
            <w:vAlign w:val="center"/>
            <w:hideMark/>
          </w:tcPr>
          <w:p w14:paraId="4C59A3EF" w14:textId="77777777" w:rsidR="0022573F" w:rsidRPr="0022573F" w:rsidRDefault="0022573F" w:rsidP="0022573F">
            <w:pPr>
              <w:spacing w:before="0" w:after="0"/>
              <w:jc w:val="center"/>
              <w:rPr>
                <w:rFonts w:ascii="Arial" w:eastAsia="Times New Roman" w:hAnsi="Arial" w:cs="Arial"/>
                <w:b/>
                <w:bCs/>
                <w:color w:val="000000"/>
                <w:sz w:val="24"/>
                <w:szCs w:val="24"/>
                <w:lang w:eastAsia="pt-BR"/>
              </w:rPr>
            </w:pPr>
            <w:r w:rsidRPr="0022573F">
              <w:rPr>
                <w:rFonts w:ascii="Arial" w:eastAsia="Times New Roman" w:hAnsi="Arial" w:cs="Arial"/>
                <w:b/>
                <w:bCs/>
                <w:color w:val="000000"/>
                <w:sz w:val="24"/>
                <w:szCs w:val="24"/>
                <w:lang w:eastAsia="pt-BR"/>
              </w:rPr>
              <w:t> </w:t>
            </w:r>
            <w:r w:rsidRPr="0022573F">
              <w:rPr>
                <w:rFonts w:ascii="Times New Roman" w:eastAsia="Times New Roman" w:hAnsi="Times New Roman" w:cs="Times New Roman"/>
                <w:b/>
                <w:bCs/>
                <w:color w:val="000000"/>
                <w:sz w:val="24"/>
                <w:szCs w:val="24"/>
                <w:lang w:eastAsia="pt-BR"/>
              </w:rPr>
              <w:t xml:space="preserve"> </w:t>
            </w:r>
          </w:p>
        </w:tc>
        <w:tc>
          <w:tcPr>
            <w:tcW w:w="66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5F2D9A6"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 xml:space="preserve"> Carteira </w:t>
            </w:r>
          </w:p>
        </w:tc>
        <w:tc>
          <w:tcPr>
            <w:tcW w:w="401" w:type="pct"/>
            <w:tcBorders>
              <w:top w:val="single" w:sz="8" w:space="0" w:color="auto"/>
              <w:left w:val="nil"/>
              <w:bottom w:val="single" w:sz="8" w:space="0" w:color="auto"/>
              <w:right w:val="single" w:sz="8" w:space="0" w:color="auto"/>
            </w:tcBorders>
            <w:shd w:val="clear" w:color="000000" w:fill="D9D9D9"/>
            <w:vAlign w:val="center"/>
            <w:hideMark/>
          </w:tcPr>
          <w:p w14:paraId="70947644"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Carteira</w:t>
            </w:r>
          </w:p>
        </w:tc>
        <w:tc>
          <w:tcPr>
            <w:tcW w:w="1293" w:type="pct"/>
            <w:gridSpan w:val="3"/>
            <w:tcBorders>
              <w:top w:val="single" w:sz="8" w:space="0" w:color="auto"/>
              <w:left w:val="nil"/>
              <w:bottom w:val="single" w:sz="8" w:space="0" w:color="auto"/>
              <w:right w:val="single" w:sz="8" w:space="0" w:color="000000"/>
            </w:tcBorders>
            <w:shd w:val="clear" w:color="000000" w:fill="D9D9D9"/>
            <w:vAlign w:val="center"/>
            <w:hideMark/>
          </w:tcPr>
          <w:p w14:paraId="0A89FB0E"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Estratégia de Alocação - Política de Investimento de 2024</w:t>
            </w:r>
            <w:r w:rsidRPr="0022573F">
              <w:rPr>
                <w:rFonts w:ascii="Times New Roman" w:eastAsia="Times New Roman" w:hAnsi="Times New Roman" w:cs="Times New Roman"/>
                <w:b/>
                <w:bCs/>
                <w:color w:val="000000"/>
                <w:sz w:val="24"/>
                <w:szCs w:val="24"/>
                <w:lang w:eastAsia="pt-BR"/>
              </w:rPr>
              <w:t xml:space="preserve"> </w:t>
            </w:r>
          </w:p>
        </w:tc>
        <w:tc>
          <w:tcPr>
            <w:tcW w:w="802" w:type="pct"/>
            <w:gridSpan w:val="2"/>
            <w:tcBorders>
              <w:top w:val="single" w:sz="8" w:space="0" w:color="auto"/>
              <w:left w:val="nil"/>
              <w:bottom w:val="single" w:sz="8" w:space="0" w:color="auto"/>
              <w:right w:val="single" w:sz="8" w:space="0" w:color="000000"/>
            </w:tcBorders>
            <w:shd w:val="clear" w:color="000000" w:fill="D9D9D9"/>
            <w:vAlign w:val="center"/>
            <w:hideMark/>
          </w:tcPr>
          <w:p w14:paraId="6A70EE5F"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Estratégia de Alocação - Próximos 5 anos</w:t>
            </w:r>
          </w:p>
        </w:tc>
      </w:tr>
      <w:tr w:rsidR="0022573F" w:rsidRPr="0022573F" w14:paraId="7F5D82D9" w14:textId="77777777" w:rsidTr="0022573F">
        <w:trPr>
          <w:trHeight w:val="405"/>
        </w:trPr>
        <w:tc>
          <w:tcPr>
            <w:tcW w:w="606" w:type="pct"/>
            <w:tcBorders>
              <w:top w:val="nil"/>
              <w:left w:val="single" w:sz="8" w:space="0" w:color="auto"/>
              <w:bottom w:val="single" w:sz="8" w:space="0" w:color="auto"/>
              <w:right w:val="single" w:sz="8" w:space="0" w:color="auto"/>
            </w:tcBorders>
            <w:shd w:val="clear" w:color="000000" w:fill="D9D9D9"/>
            <w:vAlign w:val="center"/>
            <w:hideMark/>
          </w:tcPr>
          <w:p w14:paraId="024A942F"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Segmento</w:t>
            </w:r>
            <w:r w:rsidRPr="0022573F">
              <w:rPr>
                <w:rFonts w:ascii="Times New Roman" w:eastAsia="Times New Roman" w:hAnsi="Times New Roman" w:cs="Times New Roman"/>
                <w:b/>
                <w:bCs/>
                <w:color w:val="000000"/>
                <w:sz w:val="24"/>
                <w:szCs w:val="24"/>
                <w:lang w:eastAsia="pt-BR"/>
              </w:rPr>
              <w:t xml:space="preserve"> </w:t>
            </w:r>
          </w:p>
        </w:tc>
        <w:tc>
          <w:tcPr>
            <w:tcW w:w="720" w:type="pct"/>
            <w:tcBorders>
              <w:top w:val="nil"/>
              <w:left w:val="nil"/>
              <w:bottom w:val="single" w:sz="8" w:space="0" w:color="auto"/>
              <w:right w:val="single" w:sz="8" w:space="0" w:color="auto"/>
            </w:tcBorders>
            <w:shd w:val="clear" w:color="000000" w:fill="D9D9D9"/>
            <w:vAlign w:val="center"/>
            <w:hideMark/>
          </w:tcPr>
          <w:p w14:paraId="022381BB"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Tipo de Ativo</w:t>
            </w:r>
            <w:r w:rsidRPr="0022573F">
              <w:rPr>
                <w:rFonts w:ascii="Times New Roman" w:eastAsia="Times New Roman" w:hAnsi="Times New Roman" w:cs="Times New Roman"/>
                <w:b/>
                <w:bCs/>
                <w:color w:val="000000"/>
                <w:sz w:val="24"/>
                <w:szCs w:val="24"/>
                <w:lang w:eastAsia="pt-BR"/>
              </w:rPr>
              <w:t xml:space="preserve"> </w:t>
            </w:r>
          </w:p>
        </w:tc>
        <w:tc>
          <w:tcPr>
            <w:tcW w:w="509" w:type="pct"/>
            <w:tcBorders>
              <w:top w:val="nil"/>
              <w:left w:val="nil"/>
              <w:bottom w:val="single" w:sz="8" w:space="0" w:color="auto"/>
              <w:right w:val="nil"/>
            </w:tcBorders>
            <w:shd w:val="clear" w:color="000000" w:fill="D9D9D9"/>
            <w:vAlign w:val="center"/>
            <w:hideMark/>
          </w:tcPr>
          <w:p w14:paraId="27348E52"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Limite da Resolução CMN %</w:t>
            </w:r>
            <w:r w:rsidRPr="0022573F">
              <w:rPr>
                <w:rFonts w:ascii="Times New Roman" w:eastAsia="Times New Roman" w:hAnsi="Times New Roman" w:cs="Times New Roman"/>
                <w:b/>
                <w:bCs/>
                <w:color w:val="000000"/>
                <w:sz w:val="24"/>
                <w:szCs w:val="24"/>
                <w:lang w:eastAsia="pt-BR"/>
              </w:rPr>
              <w:t xml:space="preserve"> </w:t>
            </w:r>
          </w:p>
        </w:tc>
        <w:tc>
          <w:tcPr>
            <w:tcW w:w="669" w:type="pct"/>
            <w:tcBorders>
              <w:top w:val="nil"/>
              <w:left w:val="single" w:sz="8" w:space="0" w:color="auto"/>
              <w:bottom w:val="single" w:sz="8" w:space="0" w:color="auto"/>
              <w:right w:val="single" w:sz="8" w:space="0" w:color="auto"/>
            </w:tcBorders>
            <w:shd w:val="clear" w:color="000000" w:fill="D9D9D9"/>
            <w:vAlign w:val="center"/>
            <w:hideMark/>
          </w:tcPr>
          <w:p w14:paraId="2644B0C9"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 xml:space="preserve"> $ </w:t>
            </w:r>
          </w:p>
        </w:tc>
        <w:tc>
          <w:tcPr>
            <w:tcW w:w="401" w:type="pct"/>
            <w:tcBorders>
              <w:top w:val="nil"/>
              <w:left w:val="nil"/>
              <w:bottom w:val="single" w:sz="8" w:space="0" w:color="auto"/>
              <w:right w:val="single" w:sz="8" w:space="0" w:color="auto"/>
            </w:tcBorders>
            <w:shd w:val="clear" w:color="000000" w:fill="D9D9D9"/>
            <w:vAlign w:val="center"/>
            <w:hideMark/>
          </w:tcPr>
          <w:p w14:paraId="343EC86A"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w:t>
            </w:r>
          </w:p>
        </w:tc>
        <w:tc>
          <w:tcPr>
            <w:tcW w:w="373" w:type="pct"/>
            <w:tcBorders>
              <w:top w:val="nil"/>
              <w:left w:val="nil"/>
              <w:bottom w:val="single" w:sz="8" w:space="0" w:color="auto"/>
              <w:right w:val="single" w:sz="8" w:space="0" w:color="auto"/>
            </w:tcBorders>
            <w:shd w:val="clear" w:color="000000" w:fill="D9D9D9"/>
            <w:vAlign w:val="center"/>
            <w:hideMark/>
          </w:tcPr>
          <w:p w14:paraId="679B6997"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Limite Inferior (%)</w:t>
            </w:r>
            <w:r w:rsidRPr="0022573F">
              <w:rPr>
                <w:rFonts w:ascii="Times New Roman" w:eastAsia="Times New Roman" w:hAnsi="Times New Roman" w:cs="Times New Roman"/>
                <w:b/>
                <w:bCs/>
                <w:color w:val="000000"/>
                <w:sz w:val="24"/>
                <w:szCs w:val="24"/>
                <w:lang w:eastAsia="pt-BR"/>
              </w:rPr>
              <w:t xml:space="preserve"> </w:t>
            </w:r>
          </w:p>
        </w:tc>
        <w:tc>
          <w:tcPr>
            <w:tcW w:w="490" w:type="pct"/>
            <w:tcBorders>
              <w:top w:val="nil"/>
              <w:left w:val="nil"/>
              <w:bottom w:val="single" w:sz="8" w:space="0" w:color="auto"/>
              <w:right w:val="single" w:sz="8" w:space="0" w:color="auto"/>
            </w:tcBorders>
            <w:shd w:val="clear" w:color="000000" w:fill="D9D9D9"/>
            <w:vAlign w:val="center"/>
            <w:hideMark/>
          </w:tcPr>
          <w:p w14:paraId="502EB2F3"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Estratégia Alvo (%)</w:t>
            </w:r>
            <w:r w:rsidRPr="0022573F">
              <w:rPr>
                <w:rFonts w:ascii="Times New Roman" w:eastAsia="Times New Roman" w:hAnsi="Times New Roman" w:cs="Times New Roman"/>
                <w:b/>
                <w:bCs/>
                <w:color w:val="000000"/>
                <w:sz w:val="24"/>
                <w:szCs w:val="24"/>
                <w:lang w:eastAsia="pt-BR"/>
              </w:rPr>
              <w:t xml:space="preserve"> </w:t>
            </w:r>
          </w:p>
        </w:tc>
        <w:tc>
          <w:tcPr>
            <w:tcW w:w="429" w:type="pct"/>
            <w:tcBorders>
              <w:top w:val="nil"/>
              <w:left w:val="nil"/>
              <w:bottom w:val="single" w:sz="8" w:space="0" w:color="auto"/>
              <w:right w:val="single" w:sz="8" w:space="0" w:color="auto"/>
            </w:tcBorders>
            <w:shd w:val="clear" w:color="000000" w:fill="D9D9D9"/>
            <w:vAlign w:val="center"/>
            <w:hideMark/>
          </w:tcPr>
          <w:p w14:paraId="2A94001A"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Limite Superior (%)</w:t>
            </w:r>
            <w:r w:rsidRPr="0022573F">
              <w:rPr>
                <w:rFonts w:ascii="Times New Roman" w:eastAsia="Times New Roman" w:hAnsi="Times New Roman" w:cs="Times New Roman"/>
                <w:b/>
                <w:bCs/>
                <w:color w:val="000000"/>
                <w:sz w:val="24"/>
                <w:szCs w:val="24"/>
                <w:lang w:eastAsia="pt-BR"/>
              </w:rPr>
              <w:t xml:space="preserve"> </w:t>
            </w:r>
          </w:p>
        </w:tc>
        <w:tc>
          <w:tcPr>
            <w:tcW w:w="373" w:type="pct"/>
            <w:tcBorders>
              <w:top w:val="nil"/>
              <w:left w:val="nil"/>
              <w:bottom w:val="single" w:sz="8" w:space="0" w:color="auto"/>
              <w:right w:val="single" w:sz="8" w:space="0" w:color="auto"/>
            </w:tcBorders>
            <w:shd w:val="clear" w:color="000000" w:fill="D9D9D9"/>
            <w:vAlign w:val="center"/>
            <w:hideMark/>
          </w:tcPr>
          <w:p w14:paraId="0AD4A789"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Limite Inferior (%)</w:t>
            </w:r>
            <w:r w:rsidRPr="0022573F">
              <w:rPr>
                <w:rFonts w:ascii="Times New Roman" w:eastAsia="Times New Roman" w:hAnsi="Times New Roman" w:cs="Times New Roman"/>
                <w:b/>
                <w:bCs/>
                <w:color w:val="000000"/>
                <w:sz w:val="24"/>
                <w:szCs w:val="24"/>
                <w:lang w:eastAsia="pt-BR"/>
              </w:rPr>
              <w:t xml:space="preserve"> </w:t>
            </w:r>
          </w:p>
        </w:tc>
        <w:tc>
          <w:tcPr>
            <w:tcW w:w="429" w:type="pct"/>
            <w:tcBorders>
              <w:top w:val="nil"/>
              <w:left w:val="nil"/>
              <w:bottom w:val="single" w:sz="8" w:space="0" w:color="auto"/>
              <w:right w:val="single" w:sz="8" w:space="0" w:color="auto"/>
            </w:tcBorders>
            <w:shd w:val="clear" w:color="000000" w:fill="D9D9D9"/>
            <w:vAlign w:val="center"/>
            <w:hideMark/>
          </w:tcPr>
          <w:p w14:paraId="1B2BEE31"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Limite Superior (%)</w:t>
            </w:r>
            <w:r w:rsidRPr="0022573F">
              <w:rPr>
                <w:rFonts w:ascii="Times New Roman" w:eastAsia="Times New Roman" w:hAnsi="Times New Roman" w:cs="Times New Roman"/>
                <w:b/>
                <w:bCs/>
                <w:color w:val="000000"/>
                <w:sz w:val="24"/>
                <w:szCs w:val="24"/>
                <w:lang w:eastAsia="pt-BR"/>
              </w:rPr>
              <w:t xml:space="preserve"> </w:t>
            </w:r>
          </w:p>
        </w:tc>
      </w:tr>
      <w:tr w:rsidR="0022573F" w:rsidRPr="0022573F" w14:paraId="76876FF8" w14:textId="77777777" w:rsidTr="0022573F">
        <w:trPr>
          <w:trHeight w:val="273"/>
        </w:trPr>
        <w:tc>
          <w:tcPr>
            <w:tcW w:w="606"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171AFC0"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Renda Fixa</w:t>
            </w:r>
            <w:r w:rsidRPr="0022573F">
              <w:rPr>
                <w:rFonts w:ascii="Times New Roman" w:eastAsia="Times New Roman" w:hAnsi="Times New Roman" w:cs="Times New Roman"/>
                <w:b/>
                <w:bCs/>
                <w:color w:val="000000"/>
                <w:sz w:val="24"/>
                <w:szCs w:val="24"/>
                <w:lang w:eastAsia="pt-BR"/>
              </w:rPr>
              <w:t xml:space="preserve"> </w:t>
            </w:r>
          </w:p>
        </w:tc>
        <w:tc>
          <w:tcPr>
            <w:tcW w:w="720" w:type="pct"/>
            <w:tcBorders>
              <w:top w:val="nil"/>
              <w:left w:val="nil"/>
              <w:bottom w:val="single" w:sz="8" w:space="0" w:color="auto"/>
              <w:right w:val="single" w:sz="8" w:space="0" w:color="auto"/>
            </w:tcBorders>
            <w:shd w:val="clear" w:color="auto" w:fill="auto"/>
            <w:vAlign w:val="center"/>
            <w:hideMark/>
          </w:tcPr>
          <w:p w14:paraId="41702866"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7º I a - Títulos do Tesouro Nacional SELIC</w:t>
            </w:r>
          </w:p>
        </w:tc>
        <w:tc>
          <w:tcPr>
            <w:tcW w:w="509" w:type="pct"/>
            <w:tcBorders>
              <w:top w:val="nil"/>
              <w:left w:val="nil"/>
              <w:bottom w:val="single" w:sz="8" w:space="0" w:color="auto"/>
              <w:right w:val="single" w:sz="8" w:space="0" w:color="auto"/>
            </w:tcBorders>
            <w:shd w:val="clear" w:color="auto" w:fill="auto"/>
            <w:vAlign w:val="center"/>
            <w:hideMark/>
          </w:tcPr>
          <w:p w14:paraId="06CAAE1F"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100,00%</w:t>
            </w:r>
          </w:p>
        </w:tc>
        <w:tc>
          <w:tcPr>
            <w:tcW w:w="669" w:type="pct"/>
            <w:tcBorders>
              <w:top w:val="nil"/>
              <w:left w:val="nil"/>
              <w:bottom w:val="single" w:sz="8" w:space="0" w:color="auto"/>
              <w:right w:val="single" w:sz="8" w:space="0" w:color="auto"/>
            </w:tcBorders>
            <w:shd w:val="clear" w:color="000000" w:fill="FFFFFF"/>
            <w:hideMark/>
          </w:tcPr>
          <w:p w14:paraId="28867F4E"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401" w:type="pct"/>
            <w:tcBorders>
              <w:top w:val="nil"/>
              <w:left w:val="nil"/>
              <w:bottom w:val="single" w:sz="8" w:space="0" w:color="auto"/>
              <w:right w:val="single" w:sz="8" w:space="0" w:color="auto"/>
            </w:tcBorders>
            <w:shd w:val="clear" w:color="000000" w:fill="FFFFFF"/>
            <w:hideMark/>
          </w:tcPr>
          <w:p w14:paraId="4ACE94F9"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373" w:type="pct"/>
            <w:tcBorders>
              <w:top w:val="nil"/>
              <w:left w:val="nil"/>
              <w:bottom w:val="single" w:sz="8" w:space="0" w:color="auto"/>
              <w:right w:val="single" w:sz="8" w:space="0" w:color="auto"/>
            </w:tcBorders>
            <w:shd w:val="clear" w:color="auto" w:fill="auto"/>
            <w:vAlign w:val="center"/>
            <w:hideMark/>
          </w:tcPr>
          <w:p w14:paraId="7235F2CA"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1AB02386"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2,00%</w:t>
            </w:r>
          </w:p>
        </w:tc>
        <w:tc>
          <w:tcPr>
            <w:tcW w:w="429" w:type="pct"/>
            <w:tcBorders>
              <w:top w:val="nil"/>
              <w:left w:val="nil"/>
              <w:bottom w:val="single" w:sz="8" w:space="0" w:color="auto"/>
              <w:right w:val="single" w:sz="8" w:space="0" w:color="auto"/>
            </w:tcBorders>
            <w:shd w:val="clear" w:color="auto" w:fill="auto"/>
            <w:vAlign w:val="center"/>
            <w:hideMark/>
          </w:tcPr>
          <w:p w14:paraId="724F942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40,00%</w:t>
            </w:r>
          </w:p>
        </w:tc>
        <w:tc>
          <w:tcPr>
            <w:tcW w:w="373" w:type="pct"/>
            <w:tcBorders>
              <w:top w:val="nil"/>
              <w:left w:val="nil"/>
              <w:bottom w:val="single" w:sz="8" w:space="0" w:color="auto"/>
              <w:right w:val="single" w:sz="8" w:space="0" w:color="auto"/>
            </w:tcBorders>
            <w:shd w:val="clear" w:color="auto" w:fill="auto"/>
            <w:vAlign w:val="center"/>
            <w:hideMark/>
          </w:tcPr>
          <w:p w14:paraId="71F2CEFD"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0AFBBCD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40,00%</w:t>
            </w:r>
          </w:p>
        </w:tc>
      </w:tr>
      <w:tr w:rsidR="0022573F" w:rsidRPr="0022573F" w14:paraId="2372FEA3" w14:textId="77777777" w:rsidTr="00EB500F">
        <w:trPr>
          <w:trHeight w:val="185"/>
        </w:trPr>
        <w:tc>
          <w:tcPr>
            <w:tcW w:w="606" w:type="pct"/>
            <w:vMerge/>
            <w:tcBorders>
              <w:top w:val="nil"/>
              <w:left w:val="single" w:sz="8" w:space="0" w:color="auto"/>
              <w:bottom w:val="single" w:sz="8" w:space="0" w:color="000000"/>
              <w:right w:val="single" w:sz="8" w:space="0" w:color="auto"/>
            </w:tcBorders>
            <w:vAlign w:val="center"/>
            <w:hideMark/>
          </w:tcPr>
          <w:p w14:paraId="44DF7953"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4C3E4549"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7º I b - FI 100% Títulos TN</w:t>
            </w:r>
          </w:p>
        </w:tc>
        <w:tc>
          <w:tcPr>
            <w:tcW w:w="509" w:type="pct"/>
            <w:tcBorders>
              <w:top w:val="nil"/>
              <w:left w:val="nil"/>
              <w:bottom w:val="single" w:sz="8" w:space="0" w:color="auto"/>
              <w:right w:val="single" w:sz="8" w:space="0" w:color="auto"/>
            </w:tcBorders>
            <w:shd w:val="clear" w:color="auto" w:fill="auto"/>
            <w:vAlign w:val="center"/>
            <w:hideMark/>
          </w:tcPr>
          <w:p w14:paraId="0BF4DD16"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100,00%</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14:paraId="4BD2471E" w14:textId="77777777" w:rsidR="0022573F" w:rsidRPr="0022573F" w:rsidRDefault="0022573F" w:rsidP="0022573F">
            <w:pPr>
              <w:spacing w:before="0" w:after="0"/>
              <w:jc w:val="righ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174.056.293,93</w:t>
            </w:r>
          </w:p>
        </w:tc>
        <w:tc>
          <w:tcPr>
            <w:tcW w:w="401" w:type="pct"/>
            <w:tcBorders>
              <w:top w:val="single" w:sz="4" w:space="0" w:color="auto"/>
              <w:left w:val="nil"/>
              <w:bottom w:val="single" w:sz="4" w:space="0" w:color="auto"/>
              <w:right w:val="single" w:sz="4" w:space="0" w:color="auto"/>
            </w:tcBorders>
            <w:shd w:val="clear" w:color="auto" w:fill="auto"/>
            <w:hideMark/>
          </w:tcPr>
          <w:p w14:paraId="5CFF3798" w14:textId="1D38A790" w:rsidR="0022573F" w:rsidRPr="0022573F" w:rsidRDefault="0022573F" w:rsidP="00703C6E">
            <w:pPr>
              <w:spacing w:before="0" w:after="0"/>
              <w:jc w:val="righ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49,3</w:t>
            </w:r>
            <w:r w:rsidR="00703C6E">
              <w:rPr>
                <w:rFonts w:ascii="Arial" w:eastAsia="Times New Roman" w:hAnsi="Arial" w:cs="Arial"/>
                <w:color w:val="000000"/>
                <w:sz w:val="16"/>
                <w:szCs w:val="16"/>
                <w:lang w:eastAsia="pt-BR"/>
              </w:rPr>
              <w:t>6</w:t>
            </w:r>
            <w:r w:rsidRPr="0022573F">
              <w:rPr>
                <w:rFonts w:ascii="Arial" w:eastAsia="Times New Roman" w:hAnsi="Arial" w:cs="Arial"/>
                <w:color w:val="000000"/>
                <w:sz w:val="16"/>
                <w:szCs w:val="16"/>
                <w:lang w:eastAsia="pt-BR"/>
              </w:rPr>
              <w:t>%</w:t>
            </w:r>
          </w:p>
        </w:tc>
        <w:tc>
          <w:tcPr>
            <w:tcW w:w="373" w:type="pct"/>
            <w:tcBorders>
              <w:top w:val="nil"/>
              <w:left w:val="nil"/>
              <w:bottom w:val="single" w:sz="8" w:space="0" w:color="auto"/>
              <w:right w:val="single" w:sz="8" w:space="0" w:color="auto"/>
            </w:tcBorders>
            <w:shd w:val="clear" w:color="auto" w:fill="auto"/>
            <w:vAlign w:val="center"/>
            <w:hideMark/>
          </w:tcPr>
          <w:p w14:paraId="46049910"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30,00%</w:t>
            </w:r>
          </w:p>
        </w:tc>
        <w:tc>
          <w:tcPr>
            <w:tcW w:w="490" w:type="pct"/>
            <w:tcBorders>
              <w:top w:val="nil"/>
              <w:left w:val="nil"/>
              <w:bottom w:val="single" w:sz="8" w:space="0" w:color="auto"/>
              <w:right w:val="single" w:sz="8" w:space="0" w:color="auto"/>
            </w:tcBorders>
            <w:shd w:val="clear" w:color="auto" w:fill="auto"/>
            <w:vAlign w:val="center"/>
            <w:hideMark/>
          </w:tcPr>
          <w:p w14:paraId="3970C24B"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50,00%</w:t>
            </w:r>
          </w:p>
        </w:tc>
        <w:tc>
          <w:tcPr>
            <w:tcW w:w="429" w:type="pct"/>
            <w:tcBorders>
              <w:top w:val="nil"/>
              <w:left w:val="nil"/>
              <w:bottom w:val="single" w:sz="8" w:space="0" w:color="auto"/>
              <w:right w:val="single" w:sz="8" w:space="0" w:color="auto"/>
            </w:tcBorders>
            <w:shd w:val="clear" w:color="auto" w:fill="auto"/>
            <w:vAlign w:val="center"/>
            <w:hideMark/>
          </w:tcPr>
          <w:p w14:paraId="35DA9C07"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90,00%</w:t>
            </w:r>
          </w:p>
        </w:tc>
        <w:tc>
          <w:tcPr>
            <w:tcW w:w="373" w:type="pct"/>
            <w:tcBorders>
              <w:top w:val="nil"/>
              <w:left w:val="nil"/>
              <w:bottom w:val="single" w:sz="8" w:space="0" w:color="auto"/>
              <w:right w:val="single" w:sz="8" w:space="0" w:color="auto"/>
            </w:tcBorders>
            <w:shd w:val="clear" w:color="auto" w:fill="auto"/>
            <w:vAlign w:val="center"/>
            <w:hideMark/>
          </w:tcPr>
          <w:p w14:paraId="1EA077C9"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30,00%</w:t>
            </w:r>
          </w:p>
        </w:tc>
        <w:tc>
          <w:tcPr>
            <w:tcW w:w="429" w:type="pct"/>
            <w:tcBorders>
              <w:top w:val="nil"/>
              <w:left w:val="nil"/>
              <w:bottom w:val="single" w:sz="8" w:space="0" w:color="auto"/>
              <w:right w:val="single" w:sz="8" w:space="0" w:color="auto"/>
            </w:tcBorders>
            <w:shd w:val="clear" w:color="auto" w:fill="auto"/>
            <w:vAlign w:val="center"/>
            <w:hideMark/>
          </w:tcPr>
          <w:p w14:paraId="0D201930"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90,00%</w:t>
            </w:r>
          </w:p>
        </w:tc>
      </w:tr>
      <w:tr w:rsidR="0022573F" w:rsidRPr="0022573F" w14:paraId="53445307" w14:textId="77777777" w:rsidTr="00EB500F">
        <w:trPr>
          <w:trHeight w:val="273"/>
        </w:trPr>
        <w:tc>
          <w:tcPr>
            <w:tcW w:w="606" w:type="pct"/>
            <w:vMerge/>
            <w:tcBorders>
              <w:top w:val="nil"/>
              <w:left w:val="single" w:sz="8" w:space="0" w:color="auto"/>
              <w:bottom w:val="single" w:sz="8" w:space="0" w:color="000000"/>
              <w:right w:val="single" w:sz="8" w:space="0" w:color="auto"/>
            </w:tcBorders>
            <w:vAlign w:val="center"/>
            <w:hideMark/>
          </w:tcPr>
          <w:p w14:paraId="0D9F6F89"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388696B7"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7º I c - FI Ref em Índice de RF, 100% TP</w:t>
            </w:r>
          </w:p>
        </w:tc>
        <w:tc>
          <w:tcPr>
            <w:tcW w:w="509" w:type="pct"/>
            <w:tcBorders>
              <w:top w:val="nil"/>
              <w:left w:val="nil"/>
              <w:bottom w:val="single" w:sz="8" w:space="0" w:color="auto"/>
              <w:right w:val="single" w:sz="8" w:space="0" w:color="auto"/>
            </w:tcBorders>
            <w:shd w:val="clear" w:color="auto" w:fill="auto"/>
            <w:vAlign w:val="center"/>
            <w:hideMark/>
          </w:tcPr>
          <w:p w14:paraId="1E50A9F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100,00%</w:t>
            </w:r>
          </w:p>
        </w:tc>
        <w:tc>
          <w:tcPr>
            <w:tcW w:w="669" w:type="pct"/>
            <w:tcBorders>
              <w:top w:val="single" w:sz="8" w:space="0" w:color="auto"/>
              <w:left w:val="nil"/>
              <w:bottom w:val="single" w:sz="8" w:space="0" w:color="auto"/>
              <w:right w:val="single" w:sz="8" w:space="0" w:color="auto"/>
            </w:tcBorders>
            <w:shd w:val="clear" w:color="auto" w:fill="auto"/>
            <w:vAlign w:val="center"/>
            <w:hideMark/>
          </w:tcPr>
          <w:p w14:paraId="17947CFD"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401" w:type="pct"/>
            <w:tcBorders>
              <w:top w:val="single" w:sz="8" w:space="0" w:color="auto"/>
              <w:left w:val="nil"/>
              <w:bottom w:val="single" w:sz="8" w:space="0" w:color="auto"/>
              <w:right w:val="single" w:sz="8" w:space="0" w:color="auto"/>
            </w:tcBorders>
            <w:shd w:val="clear" w:color="auto" w:fill="auto"/>
            <w:vAlign w:val="center"/>
            <w:hideMark/>
          </w:tcPr>
          <w:p w14:paraId="368BA1BE" w14:textId="77777777" w:rsidR="0022573F" w:rsidRPr="0022573F" w:rsidRDefault="0022573F" w:rsidP="0022573F">
            <w:pPr>
              <w:spacing w:before="0" w:after="0"/>
              <w:jc w:val="center"/>
              <w:rPr>
                <w:rFonts w:ascii="Arial" w:eastAsia="Times New Roman" w:hAnsi="Arial" w:cs="Arial"/>
                <w:b/>
                <w:bCs/>
                <w:color w:val="000000"/>
                <w:sz w:val="24"/>
                <w:szCs w:val="24"/>
                <w:lang w:eastAsia="pt-BR"/>
              </w:rPr>
            </w:pPr>
            <w:r w:rsidRPr="0022573F">
              <w:rPr>
                <w:rFonts w:ascii="Arial" w:eastAsia="Times New Roman" w:hAnsi="Arial" w:cs="Arial"/>
                <w:b/>
                <w:bCs/>
                <w:color w:val="000000"/>
                <w:sz w:val="24"/>
                <w:szCs w:val="24"/>
                <w:lang w:eastAsia="pt-BR"/>
              </w:rPr>
              <w:t> </w:t>
            </w:r>
          </w:p>
        </w:tc>
        <w:tc>
          <w:tcPr>
            <w:tcW w:w="373" w:type="pct"/>
            <w:tcBorders>
              <w:top w:val="nil"/>
              <w:left w:val="nil"/>
              <w:bottom w:val="single" w:sz="8" w:space="0" w:color="auto"/>
              <w:right w:val="single" w:sz="8" w:space="0" w:color="auto"/>
            </w:tcBorders>
            <w:shd w:val="clear" w:color="auto" w:fill="auto"/>
            <w:vAlign w:val="center"/>
            <w:hideMark/>
          </w:tcPr>
          <w:p w14:paraId="25C8D9D4"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255971C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736DEDD9"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373" w:type="pct"/>
            <w:tcBorders>
              <w:top w:val="nil"/>
              <w:left w:val="nil"/>
              <w:bottom w:val="single" w:sz="8" w:space="0" w:color="auto"/>
              <w:right w:val="single" w:sz="8" w:space="0" w:color="auto"/>
            </w:tcBorders>
            <w:shd w:val="clear" w:color="auto" w:fill="auto"/>
            <w:vAlign w:val="center"/>
            <w:hideMark/>
          </w:tcPr>
          <w:p w14:paraId="5B4A9DE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5897D146"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r>
      <w:tr w:rsidR="0022573F" w:rsidRPr="0022573F" w14:paraId="75A66FB2" w14:textId="77777777" w:rsidTr="00EB500F">
        <w:trPr>
          <w:trHeight w:val="273"/>
        </w:trPr>
        <w:tc>
          <w:tcPr>
            <w:tcW w:w="606" w:type="pct"/>
            <w:vMerge/>
            <w:tcBorders>
              <w:top w:val="nil"/>
              <w:left w:val="single" w:sz="8" w:space="0" w:color="auto"/>
              <w:bottom w:val="single" w:sz="8" w:space="0" w:color="000000"/>
              <w:right w:val="single" w:sz="8" w:space="0" w:color="auto"/>
            </w:tcBorders>
            <w:vAlign w:val="center"/>
            <w:hideMark/>
          </w:tcPr>
          <w:p w14:paraId="7F322342"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417F9483"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7º II - Oper. compromissadas em TP TN</w:t>
            </w:r>
          </w:p>
        </w:tc>
        <w:tc>
          <w:tcPr>
            <w:tcW w:w="509" w:type="pct"/>
            <w:tcBorders>
              <w:top w:val="nil"/>
              <w:left w:val="nil"/>
              <w:bottom w:val="single" w:sz="8" w:space="0" w:color="auto"/>
              <w:right w:val="single" w:sz="8" w:space="0" w:color="auto"/>
            </w:tcBorders>
            <w:shd w:val="clear" w:color="auto" w:fill="auto"/>
            <w:vAlign w:val="center"/>
            <w:hideMark/>
          </w:tcPr>
          <w:p w14:paraId="5671310B"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5,00%</w:t>
            </w:r>
          </w:p>
        </w:tc>
        <w:tc>
          <w:tcPr>
            <w:tcW w:w="669" w:type="pct"/>
            <w:tcBorders>
              <w:top w:val="nil"/>
              <w:left w:val="nil"/>
              <w:bottom w:val="single" w:sz="8" w:space="0" w:color="auto"/>
              <w:right w:val="single" w:sz="8" w:space="0" w:color="auto"/>
            </w:tcBorders>
            <w:shd w:val="clear" w:color="auto" w:fill="auto"/>
            <w:vAlign w:val="center"/>
            <w:hideMark/>
          </w:tcPr>
          <w:p w14:paraId="4F734976"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401" w:type="pct"/>
            <w:tcBorders>
              <w:top w:val="nil"/>
              <w:left w:val="nil"/>
              <w:bottom w:val="single" w:sz="8" w:space="0" w:color="auto"/>
              <w:right w:val="single" w:sz="8" w:space="0" w:color="auto"/>
            </w:tcBorders>
            <w:shd w:val="clear" w:color="auto" w:fill="auto"/>
            <w:vAlign w:val="center"/>
            <w:hideMark/>
          </w:tcPr>
          <w:p w14:paraId="14D6253D" w14:textId="77777777" w:rsidR="0022573F" w:rsidRPr="0022573F" w:rsidRDefault="0022573F" w:rsidP="0022573F">
            <w:pPr>
              <w:spacing w:before="0" w:after="0"/>
              <w:jc w:val="center"/>
              <w:rPr>
                <w:rFonts w:ascii="Arial" w:eastAsia="Times New Roman" w:hAnsi="Arial" w:cs="Arial"/>
                <w:b/>
                <w:bCs/>
                <w:color w:val="000000"/>
                <w:sz w:val="24"/>
                <w:szCs w:val="24"/>
                <w:lang w:eastAsia="pt-BR"/>
              </w:rPr>
            </w:pPr>
            <w:r w:rsidRPr="0022573F">
              <w:rPr>
                <w:rFonts w:ascii="Arial" w:eastAsia="Times New Roman" w:hAnsi="Arial" w:cs="Arial"/>
                <w:b/>
                <w:bCs/>
                <w:color w:val="000000"/>
                <w:sz w:val="24"/>
                <w:szCs w:val="24"/>
                <w:lang w:eastAsia="pt-BR"/>
              </w:rPr>
              <w:t> </w:t>
            </w:r>
          </w:p>
        </w:tc>
        <w:tc>
          <w:tcPr>
            <w:tcW w:w="373" w:type="pct"/>
            <w:tcBorders>
              <w:top w:val="nil"/>
              <w:left w:val="nil"/>
              <w:bottom w:val="single" w:sz="8" w:space="0" w:color="auto"/>
              <w:right w:val="single" w:sz="8" w:space="0" w:color="auto"/>
            </w:tcBorders>
            <w:shd w:val="clear" w:color="auto" w:fill="auto"/>
            <w:vAlign w:val="center"/>
            <w:hideMark/>
          </w:tcPr>
          <w:p w14:paraId="765F41D0"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3F6CD2A8"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4CDA47E1"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373" w:type="pct"/>
            <w:tcBorders>
              <w:top w:val="nil"/>
              <w:left w:val="nil"/>
              <w:bottom w:val="single" w:sz="8" w:space="0" w:color="auto"/>
              <w:right w:val="single" w:sz="8" w:space="0" w:color="auto"/>
            </w:tcBorders>
            <w:shd w:val="clear" w:color="auto" w:fill="auto"/>
            <w:vAlign w:val="center"/>
            <w:hideMark/>
          </w:tcPr>
          <w:p w14:paraId="6D045C33"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5B520C15"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r>
      <w:tr w:rsidR="0022573F" w:rsidRPr="0022573F" w14:paraId="6B77E8B8" w14:textId="77777777" w:rsidTr="00EB500F">
        <w:trPr>
          <w:trHeight w:val="185"/>
        </w:trPr>
        <w:tc>
          <w:tcPr>
            <w:tcW w:w="606" w:type="pct"/>
            <w:vMerge/>
            <w:tcBorders>
              <w:top w:val="nil"/>
              <w:left w:val="single" w:sz="8" w:space="0" w:color="auto"/>
              <w:bottom w:val="single" w:sz="8" w:space="0" w:color="000000"/>
              <w:right w:val="single" w:sz="8" w:space="0" w:color="auto"/>
            </w:tcBorders>
            <w:vAlign w:val="center"/>
            <w:hideMark/>
          </w:tcPr>
          <w:p w14:paraId="0D17F95A"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6BC5A492"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7º III a - FI Referenciados RF</w:t>
            </w:r>
          </w:p>
        </w:tc>
        <w:tc>
          <w:tcPr>
            <w:tcW w:w="509" w:type="pct"/>
            <w:tcBorders>
              <w:top w:val="nil"/>
              <w:left w:val="nil"/>
              <w:bottom w:val="single" w:sz="8" w:space="0" w:color="auto"/>
              <w:right w:val="single" w:sz="8" w:space="0" w:color="auto"/>
            </w:tcBorders>
            <w:shd w:val="clear" w:color="auto" w:fill="auto"/>
            <w:vAlign w:val="center"/>
            <w:hideMark/>
          </w:tcPr>
          <w:p w14:paraId="18475BB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60,00%</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14:paraId="04956973" w14:textId="77777777" w:rsidR="0022573F" w:rsidRPr="0022573F" w:rsidRDefault="0022573F" w:rsidP="0022573F">
            <w:pPr>
              <w:spacing w:before="0" w:after="0"/>
              <w:jc w:val="righ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117.593.372,97</w:t>
            </w:r>
          </w:p>
        </w:tc>
        <w:tc>
          <w:tcPr>
            <w:tcW w:w="401" w:type="pct"/>
            <w:tcBorders>
              <w:top w:val="single" w:sz="4" w:space="0" w:color="auto"/>
              <w:left w:val="nil"/>
              <w:bottom w:val="single" w:sz="4" w:space="0" w:color="auto"/>
              <w:right w:val="single" w:sz="4" w:space="0" w:color="auto"/>
            </w:tcBorders>
            <w:shd w:val="clear" w:color="auto" w:fill="auto"/>
            <w:hideMark/>
          </w:tcPr>
          <w:p w14:paraId="72FB1393" w14:textId="77777777" w:rsidR="0022573F" w:rsidRPr="0022573F" w:rsidRDefault="0022573F" w:rsidP="0022573F">
            <w:pPr>
              <w:spacing w:before="0" w:after="0"/>
              <w:jc w:val="righ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33,34%</w:t>
            </w:r>
          </w:p>
        </w:tc>
        <w:tc>
          <w:tcPr>
            <w:tcW w:w="373" w:type="pct"/>
            <w:tcBorders>
              <w:top w:val="nil"/>
              <w:left w:val="single" w:sz="8" w:space="0" w:color="auto"/>
              <w:bottom w:val="single" w:sz="8" w:space="0" w:color="auto"/>
              <w:right w:val="single" w:sz="8" w:space="0" w:color="auto"/>
            </w:tcBorders>
            <w:shd w:val="clear" w:color="auto" w:fill="auto"/>
            <w:vAlign w:val="center"/>
            <w:hideMark/>
          </w:tcPr>
          <w:p w14:paraId="252AF473"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10,00%</w:t>
            </w:r>
          </w:p>
        </w:tc>
        <w:tc>
          <w:tcPr>
            <w:tcW w:w="490" w:type="pct"/>
            <w:tcBorders>
              <w:top w:val="nil"/>
              <w:left w:val="nil"/>
              <w:bottom w:val="single" w:sz="8" w:space="0" w:color="auto"/>
              <w:right w:val="single" w:sz="8" w:space="0" w:color="auto"/>
            </w:tcBorders>
            <w:shd w:val="clear" w:color="auto" w:fill="auto"/>
            <w:vAlign w:val="center"/>
            <w:hideMark/>
          </w:tcPr>
          <w:p w14:paraId="7BF0B7F7"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27,00%</w:t>
            </w:r>
          </w:p>
        </w:tc>
        <w:tc>
          <w:tcPr>
            <w:tcW w:w="429" w:type="pct"/>
            <w:tcBorders>
              <w:top w:val="nil"/>
              <w:left w:val="nil"/>
              <w:bottom w:val="single" w:sz="8" w:space="0" w:color="auto"/>
              <w:right w:val="single" w:sz="8" w:space="0" w:color="auto"/>
            </w:tcBorders>
            <w:shd w:val="clear" w:color="auto" w:fill="auto"/>
            <w:vAlign w:val="center"/>
            <w:hideMark/>
          </w:tcPr>
          <w:p w14:paraId="5CCE76EA"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60,00%</w:t>
            </w:r>
          </w:p>
        </w:tc>
        <w:tc>
          <w:tcPr>
            <w:tcW w:w="373" w:type="pct"/>
            <w:tcBorders>
              <w:top w:val="nil"/>
              <w:left w:val="nil"/>
              <w:bottom w:val="single" w:sz="8" w:space="0" w:color="auto"/>
              <w:right w:val="single" w:sz="8" w:space="0" w:color="auto"/>
            </w:tcBorders>
            <w:shd w:val="clear" w:color="auto" w:fill="auto"/>
            <w:vAlign w:val="center"/>
            <w:hideMark/>
          </w:tcPr>
          <w:p w14:paraId="77B4D655"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10,00%</w:t>
            </w:r>
          </w:p>
        </w:tc>
        <w:tc>
          <w:tcPr>
            <w:tcW w:w="429" w:type="pct"/>
            <w:tcBorders>
              <w:top w:val="nil"/>
              <w:left w:val="nil"/>
              <w:bottom w:val="single" w:sz="8" w:space="0" w:color="auto"/>
              <w:right w:val="single" w:sz="8" w:space="0" w:color="auto"/>
            </w:tcBorders>
            <w:shd w:val="clear" w:color="auto" w:fill="auto"/>
            <w:vAlign w:val="center"/>
            <w:hideMark/>
          </w:tcPr>
          <w:p w14:paraId="6F8F6739"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60,00%</w:t>
            </w:r>
          </w:p>
        </w:tc>
      </w:tr>
      <w:tr w:rsidR="0022573F" w:rsidRPr="0022573F" w14:paraId="20335849" w14:textId="77777777" w:rsidTr="00EB500F">
        <w:trPr>
          <w:trHeight w:val="273"/>
        </w:trPr>
        <w:tc>
          <w:tcPr>
            <w:tcW w:w="606" w:type="pct"/>
            <w:vMerge/>
            <w:tcBorders>
              <w:top w:val="nil"/>
              <w:left w:val="single" w:sz="8" w:space="0" w:color="auto"/>
              <w:bottom w:val="single" w:sz="8" w:space="0" w:color="000000"/>
              <w:right w:val="single" w:sz="8" w:space="0" w:color="auto"/>
            </w:tcBorders>
            <w:vAlign w:val="center"/>
            <w:hideMark/>
          </w:tcPr>
          <w:p w14:paraId="7227D426"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7D02B900"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7º III b - FI de Índices Referenciado RF</w:t>
            </w:r>
          </w:p>
        </w:tc>
        <w:tc>
          <w:tcPr>
            <w:tcW w:w="509" w:type="pct"/>
            <w:tcBorders>
              <w:top w:val="nil"/>
              <w:left w:val="nil"/>
              <w:bottom w:val="single" w:sz="8" w:space="0" w:color="auto"/>
              <w:right w:val="single" w:sz="8" w:space="0" w:color="auto"/>
            </w:tcBorders>
            <w:shd w:val="clear" w:color="auto" w:fill="auto"/>
            <w:vAlign w:val="center"/>
            <w:hideMark/>
          </w:tcPr>
          <w:p w14:paraId="6C80374C"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60,00%</w:t>
            </w:r>
          </w:p>
        </w:tc>
        <w:tc>
          <w:tcPr>
            <w:tcW w:w="669" w:type="pct"/>
            <w:tcBorders>
              <w:top w:val="single" w:sz="8" w:space="0" w:color="auto"/>
              <w:left w:val="nil"/>
              <w:bottom w:val="single" w:sz="8" w:space="0" w:color="auto"/>
              <w:right w:val="single" w:sz="8" w:space="0" w:color="auto"/>
            </w:tcBorders>
            <w:shd w:val="clear" w:color="auto" w:fill="auto"/>
            <w:vAlign w:val="center"/>
            <w:hideMark/>
          </w:tcPr>
          <w:p w14:paraId="0DD65A05"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401" w:type="pct"/>
            <w:tcBorders>
              <w:top w:val="single" w:sz="8" w:space="0" w:color="auto"/>
              <w:left w:val="nil"/>
              <w:bottom w:val="single" w:sz="8" w:space="0" w:color="auto"/>
              <w:right w:val="single" w:sz="8" w:space="0" w:color="auto"/>
            </w:tcBorders>
            <w:shd w:val="clear" w:color="auto" w:fill="auto"/>
            <w:vAlign w:val="center"/>
            <w:hideMark/>
          </w:tcPr>
          <w:p w14:paraId="73482B95" w14:textId="77777777" w:rsidR="0022573F" w:rsidRPr="0022573F" w:rsidRDefault="0022573F" w:rsidP="0022573F">
            <w:pPr>
              <w:spacing w:before="0" w:after="0"/>
              <w:jc w:val="center"/>
              <w:rPr>
                <w:rFonts w:ascii="Arial" w:eastAsia="Times New Roman" w:hAnsi="Arial" w:cs="Arial"/>
                <w:color w:val="000000"/>
                <w:sz w:val="24"/>
                <w:szCs w:val="24"/>
                <w:lang w:eastAsia="pt-BR"/>
              </w:rPr>
            </w:pPr>
            <w:r w:rsidRPr="0022573F">
              <w:rPr>
                <w:rFonts w:ascii="Arial" w:eastAsia="Times New Roman" w:hAnsi="Arial" w:cs="Arial"/>
                <w:color w:val="000000"/>
                <w:sz w:val="24"/>
                <w:szCs w:val="24"/>
                <w:lang w:eastAsia="pt-BR"/>
              </w:rPr>
              <w:t> </w:t>
            </w:r>
          </w:p>
        </w:tc>
        <w:tc>
          <w:tcPr>
            <w:tcW w:w="373" w:type="pct"/>
            <w:tcBorders>
              <w:top w:val="nil"/>
              <w:left w:val="nil"/>
              <w:bottom w:val="single" w:sz="8" w:space="0" w:color="auto"/>
              <w:right w:val="single" w:sz="8" w:space="0" w:color="auto"/>
            </w:tcBorders>
            <w:shd w:val="clear" w:color="auto" w:fill="auto"/>
            <w:vAlign w:val="center"/>
            <w:hideMark/>
          </w:tcPr>
          <w:p w14:paraId="32BCF50E"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1611F2BB"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49999ED7"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373" w:type="pct"/>
            <w:tcBorders>
              <w:top w:val="nil"/>
              <w:left w:val="nil"/>
              <w:bottom w:val="single" w:sz="8" w:space="0" w:color="auto"/>
              <w:right w:val="single" w:sz="8" w:space="0" w:color="auto"/>
            </w:tcBorders>
            <w:shd w:val="clear" w:color="auto" w:fill="auto"/>
            <w:vAlign w:val="center"/>
            <w:hideMark/>
          </w:tcPr>
          <w:p w14:paraId="256F6CB5"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3EAA23FC"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r>
      <w:tr w:rsidR="0022573F" w:rsidRPr="0022573F" w14:paraId="16BA02CC" w14:textId="77777777" w:rsidTr="0022573F">
        <w:trPr>
          <w:trHeight w:val="273"/>
        </w:trPr>
        <w:tc>
          <w:tcPr>
            <w:tcW w:w="606" w:type="pct"/>
            <w:vMerge/>
            <w:tcBorders>
              <w:top w:val="nil"/>
              <w:left w:val="single" w:sz="8" w:space="0" w:color="auto"/>
              <w:bottom w:val="single" w:sz="8" w:space="0" w:color="000000"/>
              <w:right w:val="single" w:sz="8" w:space="0" w:color="auto"/>
            </w:tcBorders>
            <w:vAlign w:val="center"/>
            <w:hideMark/>
          </w:tcPr>
          <w:p w14:paraId="6CCEA4E9"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4E9967EB"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7º IV - Renda Fixa de emissão bancária</w:t>
            </w:r>
          </w:p>
        </w:tc>
        <w:tc>
          <w:tcPr>
            <w:tcW w:w="509" w:type="pct"/>
            <w:tcBorders>
              <w:top w:val="nil"/>
              <w:left w:val="nil"/>
              <w:bottom w:val="single" w:sz="8" w:space="0" w:color="auto"/>
              <w:right w:val="single" w:sz="8" w:space="0" w:color="auto"/>
            </w:tcBorders>
            <w:shd w:val="clear" w:color="auto" w:fill="auto"/>
            <w:vAlign w:val="center"/>
            <w:hideMark/>
          </w:tcPr>
          <w:p w14:paraId="6E348426"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20,00%</w:t>
            </w:r>
          </w:p>
        </w:tc>
        <w:tc>
          <w:tcPr>
            <w:tcW w:w="669" w:type="pct"/>
            <w:tcBorders>
              <w:top w:val="single" w:sz="4" w:space="0" w:color="auto"/>
              <w:left w:val="single" w:sz="4" w:space="0" w:color="auto"/>
              <w:bottom w:val="single" w:sz="4" w:space="0" w:color="auto"/>
              <w:right w:val="single" w:sz="4" w:space="0" w:color="auto"/>
            </w:tcBorders>
            <w:shd w:val="clear" w:color="000000" w:fill="FFFFFF"/>
            <w:hideMark/>
          </w:tcPr>
          <w:p w14:paraId="6FBEA794" w14:textId="77777777" w:rsidR="0022573F" w:rsidRPr="0022573F" w:rsidRDefault="0022573F" w:rsidP="0022573F">
            <w:pPr>
              <w:spacing w:before="0" w:after="0"/>
              <w:jc w:val="righ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3.427.786,46</w:t>
            </w:r>
          </w:p>
        </w:tc>
        <w:tc>
          <w:tcPr>
            <w:tcW w:w="401" w:type="pct"/>
            <w:tcBorders>
              <w:top w:val="single" w:sz="4" w:space="0" w:color="auto"/>
              <w:left w:val="nil"/>
              <w:bottom w:val="single" w:sz="4" w:space="0" w:color="auto"/>
              <w:right w:val="single" w:sz="4" w:space="0" w:color="auto"/>
            </w:tcBorders>
            <w:shd w:val="clear" w:color="000000" w:fill="FFFFFF"/>
            <w:hideMark/>
          </w:tcPr>
          <w:p w14:paraId="002FC9B0" w14:textId="77777777" w:rsidR="0022573F" w:rsidRPr="0022573F" w:rsidRDefault="0022573F" w:rsidP="0022573F">
            <w:pPr>
              <w:spacing w:before="0" w:after="0"/>
              <w:jc w:val="righ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0,97%</w:t>
            </w:r>
          </w:p>
        </w:tc>
        <w:tc>
          <w:tcPr>
            <w:tcW w:w="373" w:type="pct"/>
            <w:tcBorders>
              <w:top w:val="nil"/>
              <w:left w:val="nil"/>
              <w:bottom w:val="single" w:sz="8" w:space="0" w:color="auto"/>
              <w:right w:val="single" w:sz="8" w:space="0" w:color="auto"/>
            </w:tcBorders>
            <w:shd w:val="clear" w:color="auto" w:fill="auto"/>
            <w:vAlign w:val="center"/>
            <w:hideMark/>
          </w:tcPr>
          <w:p w14:paraId="44590E39"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0,50%</w:t>
            </w:r>
          </w:p>
        </w:tc>
        <w:tc>
          <w:tcPr>
            <w:tcW w:w="490" w:type="pct"/>
            <w:tcBorders>
              <w:top w:val="nil"/>
              <w:left w:val="nil"/>
              <w:bottom w:val="single" w:sz="8" w:space="0" w:color="auto"/>
              <w:right w:val="single" w:sz="8" w:space="0" w:color="auto"/>
            </w:tcBorders>
            <w:shd w:val="clear" w:color="auto" w:fill="auto"/>
            <w:vAlign w:val="center"/>
            <w:hideMark/>
          </w:tcPr>
          <w:p w14:paraId="27837DC5"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3,00%</w:t>
            </w:r>
          </w:p>
        </w:tc>
        <w:tc>
          <w:tcPr>
            <w:tcW w:w="429" w:type="pct"/>
            <w:tcBorders>
              <w:top w:val="nil"/>
              <w:left w:val="nil"/>
              <w:bottom w:val="single" w:sz="8" w:space="0" w:color="auto"/>
              <w:right w:val="single" w:sz="8" w:space="0" w:color="auto"/>
            </w:tcBorders>
            <w:shd w:val="clear" w:color="auto" w:fill="auto"/>
            <w:vAlign w:val="center"/>
            <w:hideMark/>
          </w:tcPr>
          <w:p w14:paraId="7A7CC75A"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20,00%</w:t>
            </w:r>
          </w:p>
        </w:tc>
        <w:tc>
          <w:tcPr>
            <w:tcW w:w="373" w:type="pct"/>
            <w:tcBorders>
              <w:top w:val="nil"/>
              <w:left w:val="nil"/>
              <w:bottom w:val="single" w:sz="8" w:space="0" w:color="auto"/>
              <w:right w:val="single" w:sz="8" w:space="0" w:color="auto"/>
            </w:tcBorders>
            <w:shd w:val="clear" w:color="auto" w:fill="auto"/>
            <w:vAlign w:val="center"/>
            <w:hideMark/>
          </w:tcPr>
          <w:p w14:paraId="1FF8D144"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0,50%</w:t>
            </w:r>
          </w:p>
        </w:tc>
        <w:tc>
          <w:tcPr>
            <w:tcW w:w="429" w:type="pct"/>
            <w:tcBorders>
              <w:top w:val="nil"/>
              <w:left w:val="nil"/>
              <w:bottom w:val="single" w:sz="8" w:space="0" w:color="auto"/>
              <w:right w:val="single" w:sz="8" w:space="0" w:color="auto"/>
            </w:tcBorders>
            <w:shd w:val="clear" w:color="auto" w:fill="auto"/>
            <w:vAlign w:val="center"/>
            <w:hideMark/>
          </w:tcPr>
          <w:p w14:paraId="2780E410"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20,00%</w:t>
            </w:r>
          </w:p>
        </w:tc>
      </w:tr>
      <w:tr w:rsidR="0022573F" w:rsidRPr="0022573F" w14:paraId="0BFBE71C" w14:textId="77777777" w:rsidTr="0022573F">
        <w:trPr>
          <w:trHeight w:val="273"/>
        </w:trPr>
        <w:tc>
          <w:tcPr>
            <w:tcW w:w="606" w:type="pct"/>
            <w:vMerge/>
            <w:tcBorders>
              <w:top w:val="nil"/>
              <w:left w:val="single" w:sz="8" w:space="0" w:color="auto"/>
              <w:bottom w:val="single" w:sz="8" w:space="0" w:color="000000"/>
              <w:right w:val="single" w:sz="8" w:space="0" w:color="auto"/>
            </w:tcBorders>
            <w:vAlign w:val="center"/>
            <w:hideMark/>
          </w:tcPr>
          <w:p w14:paraId="7909FC6F"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0F263499"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7º V a - FI em Direitos Creditórios - sênior</w:t>
            </w:r>
          </w:p>
        </w:tc>
        <w:tc>
          <w:tcPr>
            <w:tcW w:w="509" w:type="pct"/>
            <w:tcBorders>
              <w:top w:val="nil"/>
              <w:left w:val="nil"/>
              <w:bottom w:val="single" w:sz="8" w:space="0" w:color="auto"/>
              <w:right w:val="single" w:sz="8" w:space="0" w:color="auto"/>
            </w:tcBorders>
            <w:shd w:val="clear" w:color="auto" w:fill="auto"/>
            <w:vAlign w:val="center"/>
            <w:hideMark/>
          </w:tcPr>
          <w:p w14:paraId="47BC983D"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5,00%</w:t>
            </w:r>
          </w:p>
        </w:tc>
        <w:tc>
          <w:tcPr>
            <w:tcW w:w="669" w:type="pct"/>
            <w:tcBorders>
              <w:top w:val="single" w:sz="8" w:space="0" w:color="auto"/>
              <w:left w:val="nil"/>
              <w:bottom w:val="single" w:sz="8" w:space="0" w:color="auto"/>
              <w:right w:val="single" w:sz="8" w:space="0" w:color="auto"/>
            </w:tcBorders>
            <w:shd w:val="clear" w:color="000000" w:fill="FFFFFF"/>
            <w:vAlign w:val="center"/>
            <w:hideMark/>
          </w:tcPr>
          <w:p w14:paraId="29294104"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401" w:type="pct"/>
            <w:tcBorders>
              <w:top w:val="single" w:sz="8" w:space="0" w:color="auto"/>
              <w:left w:val="nil"/>
              <w:bottom w:val="single" w:sz="8" w:space="0" w:color="auto"/>
              <w:right w:val="single" w:sz="8" w:space="0" w:color="auto"/>
            </w:tcBorders>
            <w:shd w:val="clear" w:color="000000" w:fill="FFFFFF"/>
            <w:vAlign w:val="center"/>
            <w:hideMark/>
          </w:tcPr>
          <w:p w14:paraId="2EAFFCAA" w14:textId="77777777" w:rsidR="0022573F" w:rsidRPr="0022573F" w:rsidRDefault="0022573F" w:rsidP="0022573F">
            <w:pPr>
              <w:spacing w:before="0" w:after="0"/>
              <w:jc w:val="center"/>
              <w:rPr>
                <w:rFonts w:ascii="Arial" w:eastAsia="Times New Roman" w:hAnsi="Arial" w:cs="Arial"/>
                <w:b/>
                <w:bCs/>
                <w:color w:val="000000"/>
                <w:sz w:val="24"/>
                <w:szCs w:val="24"/>
                <w:lang w:eastAsia="pt-BR"/>
              </w:rPr>
            </w:pPr>
            <w:r w:rsidRPr="0022573F">
              <w:rPr>
                <w:rFonts w:ascii="Arial" w:eastAsia="Times New Roman" w:hAnsi="Arial" w:cs="Arial"/>
                <w:b/>
                <w:bCs/>
                <w:color w:val="000000"/>
                <w:sz w:val="24"/>
                <w:szCs w:val="24"/>
                <w:lang w:eastAsia="pt-BR"/>
              </w:rPr>
              <w:t> </w:t>
            </w:r>
          </w:p>
        </w:tc>
        <w:tc>
          <w:tcPr>
            <w:tcW w:w="373" w:type="pct"/>
            <w:tcBorders>
              <w:top w:val="nil"/>
              <w:left w:val="nil"/>
              <w:bottom w:val="single" w:sz="8" w:space="0" w:color="auto"/>
              <w:right w:val="single" w:sz="8" w:space="0" w:color="auto"/>
            </w:tcBorders>
            <w:shd w:val="clear" w:color="auto" w:fill="auto"/>
            <w:vAlign w:val="center"/>
            <w:hideMark/>
          </w:tcPr>
          <w:p w14:paraId="307CC0CD"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3CFD5768"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5E0F0FF0"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373" w:type="pct"/>
            <w:tcBorders>
              <w:top w:val="nil"/>
              <w:left w:val="nil"/>
              <w:bottom w:val="single" w:sz="8" w:space="0" w:color="auto"/>
              <w:right w:val="single" w:sz="8" w:space="0" w:color="auto"/>
            </w:tcBorders>
            <w:shd w:val="clear" w:color="auto" w:fill="auto"/>
            <w:vAlign w:val="center"/>
            <w:hideMark/>
          </w:tcPr>
          <w:p w14:paraId="02E35E41"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67A3A4F3"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r>
      <w:tr w:rsidR="0022573F" w:rsidRPr="0022573F" w14:paraId="76F2AE06" w14:textId="77777777" w:rsidTr="0022573F">
        <w:trPr>
          <w:trHeight w:val="334"/>
        </w:trPr>
        <w:tc>
          <w:tcPr>
            <w:tcW w:w="606" w:type="pct"/>
            <w:vMerge/>
            <w:tcBorders>
              <w:top w:val="nil"/>
              <w:left w:val="single" w:sz="8" w:space="0" w:color="auto"/>
              <w:bottom w:val="single" w:sz="8" w:space="0" w:color="000000"/>
              <w:right w:val="single" w:sz="8" w:space="0" w:color="auto"/>
            </w:tcBorders>
            <w:vAlign w:val="center"/>
            <w:hideMark/>
          </w:tcPr>
          <w:p w14:paraId="59DDC5B5"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2BF694DC"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7º V b - FI Renda Fixa "Crédito Privado"</w:t>
            </w:r>
          </w:p>
        </w:tc>
        <w:tc>
          <w:tcPr>
            <w:tcW w:w="509" w:type="pct"/>
            <w:tcBorders>
              <w:top w:val="nil"/>
              <w:left w:val="nil"/>
              <w:bottom w:val="single" w:sz="8" w:space="0" w:color="auto"/>
              <w:right w:val="single" w:sz="8" w:space="0" w:color="auto"/>
            </w:tcBorders>
            <w:shd w:val="clear" w:color="auto" w:fill="auto"/>
            <w:vAlign w:val="center"/>
            <w:hideMark/>
          </w:tcPr>
          <w:p w14:paraId="2DB9892D"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5,00%</w:t>
            </w:r>
          </w:p>
        </w:tc>
        <w:tc>
          <w:tcPr>
            <w:tcW w:w="669" w:type="pct"/>
            <w:tcBorders>
              <w:top w:val="nil"/>
              <w:left w:val="nil"/>
              <w:bottom w:val="single" w:sz="8" w:space="0" w:color="auto"/>
              <w:right w:val="single" w:sz="8" w:space="0" w:color="auto"/>
            </w:tcBorders>
            <w:shd w:val="clear" w:color="000000" w:fill="FFFFFF"/>
            <w:vAlign w:val="center"/>
            <w:hideMark/>
          </w:tcPr>
          <w:p w14:paraId="41D0413D"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401" w:type="pct"/>
            <w:tcBorders>
              <w:top w:val="nil"/>
              <w:left w:val="nil"/>
              <w:bottom w:val="single" w:sz="8" w:space="0" w:color="auto"/>
              <w:right w:val="single" w:sz="8" w:space="0" w:color="auto"/>
            </w:tcBorders>
            <w:shd w:val="clear" w:color="000000" w:fill="FFFFFF"/>
            <w:vAlign w:val="center"/>
            <w:hideMark/>
          </w:tcPr>
          <w:p w14:paraId="6D639C58" w14:textId="77777777" w:rsidR="0022573F" w:rsidRPr="0022573F" w:rsidRDefault="0022573F" w:rsidP="0022573F">
            <w:pPr>
              <w:spacing w:before="0" w:after="0"/>
              <w:jc w:val="center"/>
              <w:rPr>
                <w:rFonts w:ascii="Arial" w:eastAsia="Times New Roman" w:hAnsi="Arial" w:cs="Arial"/>
                <w:b/>
                <w:bCs/>
                <w:color w:val="000000"/>
                <w:sz w:val="24"/>
                <w:szCs w:val="24"/>
                <w:lang w:eastAsia="pt-BR"/>
              </w:rPr>
            </w:pPr>
            <w:r w:rsidRPr="0022573F">
              <w:rPr>
                <w:rFonts w:ascii="Arial" w:eastAsia="Times New Roman" w:hAnsi="Arial" w:cs="Arial"/>
                <w:b/>
                <w:bCs/>
                <w:color w:val="000000"/>
                <w:sz w:val="24"/>
                <w:szCs w:val="24"/>
                <w:lang w:eastAsia="pt-BR"/>
              </w:rPr>
              <w:t> </w:t>
            </w:r>
          </w:p>
        </w:tc>
        <w:tc>
          <w:tcPr>
            <w:tcW w:w="373" w:type="pct"/>
            <w:tcBorders>
              <w:top w:val="nil"/>
              <w:left w:val="nil"/>
              <w:bottom w:val="single" w:sz="8" w:space="0" w:color="auto"/>
              <w:right w:val="single" w:sz="8" w:space="0" w:color="auto"/>
            </w:tcBorders>
            <w:shd w:val="clear" w:color="auto" w:fill="auto"/>
            <w:vAlign w:val="center"/>
            <w:hideMark/>
          </w:tcPr>
          <w:p w14:paraId="2171DE59"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286BB1E8"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w:t>
            </w:r>
          </w:p>
        </w:tc>
        <w:tc>
          <w:tcPr>
            <w:tcW w:w="429" w:type="pct"/>
            <w:tcBorders>
              <w:top w:val="nil"/>
              <w:left w:val="nil"/>
              <w:bottom w:val="single" w:sz="8" w:space="0" w:color="auto"/>
              <w:right w:val="single" w:sz="8" w:space="0" w:color="auto"/>
            </w:tcBorders>
            <w:shd w:val="clear" w:color="auto" w:fill="auto"/>
            <w:vAlign w:val="center"/>
            <w:hideMark/>
          </w:tcPr>
          <w:p w14:paraId="4694E640"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5,00%</w:t>
            </w:r>
          </w:p>
        </w:tc>
        <w:tc>
          <w:tcPr>
            <w:tcW w:w="373" w:type="pct"/>
            <w:tcBorders>
              <w:top w:val="nil"/>
              <w:left w:val="nil"/>
              <w:bottom w:val="single" w:sz="8" w:space="0" w:color="auto"/>
              <w:right w:val="single" w:sz="8" w:space="0" w:color="auto"/>
            </w:tcBorders>
            <w:shd w:val="clear" w:color="auto" w:fill="auto"/>
            <w:vAlign w:val="center"/>
            <w:hideMark/>
          </w:tcPr>
          <w:p w14:paraId="5951FE57"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3997285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5,00%</w:t>
            </w:r>
          </w:p>
        </w:tc>
      </w:tr>
      <w:tr w:rsidR="0022573F" w:rsidRPr="0022573F" w14:paraId="67EC47B9" w14:textId="77777777" w:rsidTr="0022573F">
        <w:trPr>
          <w:trHeight w:val="273"/>
        </w:trPr>
        <w:tc>
          <w:tcPr>
            <w:tcW w:w="606" w:type="pct"/>
            <w:vMerge/>
            <w:tcBorders>
              <w:top w:val="nil"/>
              <w:left w:val="single" w:sz="8" w:space="0" w:color="auto"/>
              <w:bottom w:val="single" w:sz="8" w:space="0" w:color="000000"/>
              <w:right w:val="single" w:sz="8" w:space="0" w:color="auto"/>
            </w:tcBorders>
            <w:vAlign w:val="center"/>
            <w:hideMark/>
          </w:tcPr>
          <w:p w14:paraId="570B0D05"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5DFF67EF"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7º V c - FI de Debêntures Infraestrutura</w:t>
            </w:r>
          </w:p>
        </w:tc>
        <w:tc>
          <w:tcPr>
            <w:tcW w:w="509" w:type="pct"/>
            <w:tcBorders>
              <w:top w:val="nil"/>
              <w:left w:val="nil"/>
              <w:bottom w:val="single" w:sz="8" w:space="0" w:color="auto"/>
              <w:right w:val="single" w:sz="8" w:space="0" w:color="auto"/>
            </w:tcBorders>
            <w:shd w:val="clear" w:color="auto" w:fill="auto"/>
            <w:vAlign w:val="center"/>
            <w:hideMark/>
          </w:tcPr>
          <w:p w14:paraId="2A4323FA"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5,00%</w:t>
            </w:r>
          </w:p>
        </w:tc>
        <w:tc>
          <w:tcPr>
            <w:tcW w:w="669" w:type="pct"/>
            <w:tcBorders>
              <w:top w:val="nil"/>
              <w:left w:val="nil"/>
              <w:bottom w:val="single" w:sz="8" w:space="0" w:color="auto"/>
              <w:right w:val="single" w:sz="8" w:space="0" w:color="auto"/>
            </w:tcBorders>
            <w:shd w:val="clear" w:color="000000" w:fill="FFFFFF"/>
            <w:vAlign w:val="center"/>
            <w:hideMark/>
          </w:tcPr>
          <w:p w14:paraId="6CC7F3BA"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401" w:type="pct"/>
            <w:tcBorders>
              <w:top w:val="nil"/>
              <w:left w:val="nil"/>
              <w:bottom w:val="single" w:sz="8" w:space="0" w:color="auto"/>
              <w:right w:val="single" w:sz="8" w:space="0" w:color="auto"/>
            </w:tcBorders>
            <w:shd w:val="clear" w:color="000000" w:fill="FFFFFF"/>
            <w:vAlign w:val="center"/>
            <w:hideMark/>
          </w:tcPr>
          <w:p w14:paraId="4DDE1277" w14:textId="77777777" w:rsidR="0022573F" w:rsidRPr="0022573F" w:rsidRDefault="0022573F" w:rsidP="0022573F">
            <w:pPr>
              <w:spacing w:before="0" w:after="0"/>
              <w:jc w:val="center"/>
              <w:rPr>
                <w:rFonts w:ascii="Arial" w:eastAsia="Times New Roman" w:hAnsi="Arial" w:cs="Arial"/>
                <w:b/>
                <w:bCs/>
                <w:color w:val="000000"/>
                <w:sz w:val="24"/>
                <w:szCs w:val="24"/>
                <w:lang w:eastAsia="pt-BR"/>
              </w:rPr>
            </w:pPr>
            <w:r w:rsidRPr="0022573F">
              <w:rPr>
                <w:rFonts w:ascii="Arial" w:eastAsia="Times New Roman" w:hAnsi="Arial" w:cs="Arial"/>
                <w:b/>
                <w:bCs/>
                <w:color w:val="000000"/>
                <w:sz w:val="24"/>
                <w:szCs w:val="24"/>
                <w:lang w:eastAsia="pt-BR"/>
              </w:rPr>
              <w:t> </w:t>
            </w:r>
          </w:p>
        </w:tc>
        <w:tc>
          <w:tcPr>
            <w:tcW w:w="373" w:type="pct"/>
            <w:tcBorders>
              <w:top w:val="nil"/>
              <w:left w:val="nil"/>
              <w:bottom w:val="single" w:sz="8" w:space="0" w:color="auto"/>
              <w:right w:val="single" w:sz="8" w:space="0" w:color="auto"/>
            </w:tcBorders>
            <w:shd w:val="clear" w:color="auto" w:fill="auto"/>
            <w:vAlign w:val="center"/>
            <w:hideMark/>
          </w:tcPr>
          <w:p w14:paraId="5B774EA6"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0B1113F8"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2937C685"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373" w:type="pct"/>
            <w:tcBorders>
              <w:top w:val="nil"/>
              <w:left w:val="nil"/>
              <w:bottom w:val="single" w:sz="8" w:space="0" w:color="auto"/>
              <w:right w:val="single" w:sz="8" w:space="0" w:color="auto"/>
            </w:tcBorders>
            <w:shd w:val="clear" w:color="auto" w:fill="auto"/>
            <w:vAlign w:val="center"/>
            <w:hideMark/>
          </w:tcPr>
          <w:p w14:paraId="5BC7A359"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14D26EAB"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r>
      <w:tr w:rsidR="0022573F" w:rsidRPr="0022573F" w14:paraId="60C6FA32" w14:textId="77777777" w:rsidTr="0022573F">
        <w:trPr>
          <w:trHeight w:val="185"/>
        </w:trPr>
        <w:tc>
          <w:tcPr>
            <w:tcW w:w="606" w:type="pct"/>
            <w:tcBorders>
              <w:top w:val="nil"/>
              <w:left w:val="nil"/>
              <w:bottom w:val="nil"/>
              <w:right w:val="single" w:sz="8" w:space="0" w:color="auto"/>
            </w:tcBorders>
            <w:shd w:val="clear" w:color="auto" w:fill="auto"/>
            <w:vAlign w:val="center"/>
            <w:hideMark/>
          </w:tcPr>
          <w:p w14:paraId="6E88677C"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 </w:t>
            </w:r>
            <w:r w:rsidRPr="0022573F">
              <w:rPr>
                <w:rFonts w:ascii="Times New Roman" w:eastAsia="Times New Roman" w:hAnsi="Times New Roman" w:cs="Times New Roman"/>
                <w:b/>
                <w:bCs/>
                <w:color w:val="000000"/>
                <w:sz w:val="24"/>
                <w:szCs w:val="24"/>
                <w:lang w:eastAsia="pt-BR"/>
              </w:rPr>
              <w:t xml:space="preserve"> </w:t>
            </w:r>
          </w:p>
        </w:tc>
        <w:tc>
          <w:tcPr>
            <w:tcW w:w="720" w:type="pct"/>
            <w:tcBorders>
              <w:top w:val="nil"/>
              <w:left w:val="nil"/>
              <w:bottom w:val="single" w:sz="8" w:space="0" w:color="auto"/>
              <w:right w:val="single" w:sz="8" w:space="0" w:color="auto"/>
            </w:tcBorders>
            <w:shd w:val="clear" w:color="000000" w:fill="D9D9D9"/>
            <w:vAlign w:val="center"/>
            <w:hideMark/>
          </w:tcPr>
          <w:p w14:paraId="01F6F3BE"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 xml:space="preserve">Limite de Renda Fixa </w:t>
            </w:r>
          </w:p>
        </w:tc>
        <w:tc>
          <w:tcPr>
            <w:tcW w:w="509" w:type="pct"/>
            <w:tcBorders>
              <w:top w:val="nil"/>
              <w:left w:val="nil"/>
              <w:bottom w:val="single" w:sz="8" w:space="0" w:color="auto"/>
              <w:right w:val="single" w:sz="8" w:space="0" w:color="auto"/>
            </w:tcBorders>
            <w:shd w:val="clear" w:color="000000" w:fill="D9D9D9"/>
            <w:vAlign w:val="center"/>
            <w:hideMark/>
          </w:tcPr>
          <w:p w14:paraId="79F15E84"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100,00%</w:t>
            </w:r>
          </w:p>
        </w:tc>
        <w:tc>
          <w:tcPr>
            <w:tcW w:w="669" w:type="pct"/>
            <w:tcBorders>
              <w:top w:val="nil"/>
              <w:left w:val="nil"/>
              <w:bottom w:val="single" w:sz="8" w:space="0" w:color="auto"/>
              <w:right w:val="single" w:sz="8" w:space="0" w:color="auto"/>
            </w:tcBorders>
            <w:shd w:val="clear" w:color="000000" w:fill="D9D9D9"/>
            <w:vAlign w:val="center"/>
            <w:hideMark/>
          </w:tcPr>
          <w:p w14:paraId="3BC3EB63"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 xml:space="preserve"> R$  295.077.453,36 </w:t>
            </w:r>
          </w:p>
        </w:tc>
        <w:tc>
          <w:tcPr>
            <w:tcW w:w="401" w:type="pct"/>
            <w:tcBorders>
              <w:top w:val="nil"/>
              <w:left w:val="nil"/>
              <w:bottom w:val="single" w:sz="8" w:space="0" w:color="auto"/>
              <w:right w:val="single" w:sz="8" w:space="0" w:color="auto"/>
            </w:tcBorders>
            <w:shd w:val="clear" w:color="000000" w:fill="D9D9D9"/>
            <w:vAlign w:val="center"/>
            <w:hideMark/>
          </w:tcPr>
          <w:p w14:paraId="662A0210" w14:textId="4B623584" w:rsidR="0022573F" w:rsidRPr="0022573F" w:rsidRDefault="0022573F" w:rsidP="00703C6E">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83,6</w:t>
            </w:r>
            <w:r w:rsidR="00703C6E">
              <w:rPr>
                <w:rFonts w:ascii="Arial" w:eastAsia="Times New Roman" w:hAnsi="Arial" w:cs="Arial"/>
                <w:b/>
                <w:bCs/>
                <w:color w:val="000000"/>
                <w:sz w:val="16"/>
                <w:szCs w:val="16"/>
                <w:lang w:eastAsia="pt-BR"/>
              </w:rPr>
              <w:t>7</w:t>
            </w:r>
            <w:r w:rsidRPr="0022573F">
              <w:rPr>
                <w:rFonts w:ascii="Arial" w:eastAsia="Times New Roman" w:hAnsi="Arial" w:cs="Arial"/>
                <w:b/>
                <w:bCs/>
                <w:color w:val="000000"/>
                <w:sz w:val="16"/>
                <w:szCs w:val="16"/>
                <w:lang w:eastAsia="pt-BR"/>
              </w:rPr>
              <w:t>%</w:t>
            </w:r>
          </w:p>
        </w:tc>
        <w:tc>
          <w:tcPr>
            <w:tcW w:w="373" w:type="pct"/>
            <w:tcBorders>
              <w:top w:val="nil"/>
              <w:left w:val="nil"/>
              <w:bottom w:val="single" w:sz="8" w:space="0" w:color="auto"/>
              <w:right w:val="single" w:sz="8" w:space="0" w:color="auto"/>
            </w:tcBorders>
            <w:shd w:val="clear" w:color="000000" w:fill="D9D9D9"/>
            <w:vAlign w:val="center"/>
            <w:hideMark/>
          </w:tcPr>
          <w:p w14:paraId="749E1C7E"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40,50%</w:t>
            </w:r>
          </w:p>
        </w:tc>
        <w:tc>
          <w:tcPr>
            <w:tcW w:w="490" w:type="pct"/>
            <w:tcBorders>
              <w:top w:val="nil"/>
              <w:left w:val="nil"/>
              <w:bottom w:val="single" w:sz="8" w:space="0" w:color="auto"/>
              <w:right w:val="single" w:sz="8" w:space="0" w:color="auto"/>
            </w:tcBorders>
            <w:shd w:val="clear" w:color="000000" w:fill="D9D9D9"/>
            <w:vAlign w:val="center"/>
            <w:hideMark/>
          </w:tcPr>
          <w:p w14:paraId="70B7F133"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83,00%</w:t>
            </w:r>
          </w:p>
        </w:tc>
        <w:tc>
          <w:tcPr>
            <w:tcW w:w="429" w:type="pct"/>
            <w:tcBorders>
              <w:top w:val="nil"/>
              <w:left w:val="nil"/>
              <w:bottom w:val="single" w:sz="8" w:space="0" w:color="auto"/>
              <w:right w:val="single" w:sz="8" w:space="0" w:color="auto"/>
            </w:tcBorders>
            <w:shd w:val="clear" w:color="000000" w:fill="D9D9D9"/>
            <w:vAlign w:val="center"/>
            <w:hideMark/>
          </w:tcPr>
          <w:p w14:paraId="5BAD333A"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215,00%</w:t>
            </w:r>
          </w:p>
        </w:tc>
        <w:tc>
          <w:tcPr>
            <w:tcW w:w="373" w:type="pct"/>
            <w:tcBorders>
              <w:top w:val="nil"/>
              <w:left w:val="nil"/>
              <w:bottom w:val="single" w:sz="8" w:space="0" w:color="auto"/>
              <w:right w:val="single" w:sz="8" w:space="0" w:color="auto"/>
            </w:tcBorders>
            <w:shd w:val="clear" w:color="000000" w:fill="D9D9D9"/>
            <w:vAlign w:val="center"/>
            <w:hideMark/>
          </w:tcPr>
          <w:p w14:paraId="1E932219"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40,50%</w:t>
            </w:r>
          </w:p>
        </w:tc>
        <w:tc>
          <w:tcPr>
            <w:tcW w:w="429" w:type="pct"/>
            <w:tcBorders>
              <w:top w:val="nil"/>
              <w:left w:val="nil"/>
              <w:bottom w:val="single" w:sz="8" w:space="0" w:color="auto"/>
              <w:right w:val="single" w:sz="8" w:space="0" w:color="auto"/>
            </w:tcBorders>
            <w:shd w:val="clear" w:color="000000" w:fill="D9D9D9"/>
            <w:vAlign w:val="center"/>
            <w:hideMark/>
          </w:tcPr>
          <w:p w14:paraId="0D8FCD63"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215,00%</w:t>
            </w:r>
          </w:p>
        </w:tc>
      </w:tr>
      <w:tr w:rsidR="0022573F" w:rsidRPr="0022573F" w14:paraId="22A30FC9" w14:textId="77777777" w:rsidTr="0022573F">
        <w:trPr>
          <w:trHeight w:val="185"/>
        </w:trPr>
        <w:tc>
          <w:tcPr>
            <w:tcW w:w="60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C7948F3"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Renda Variável, Estruturados e FII</w:t>
            </w:r>
            <w:r w:rsidRPr="0022573F">
              <w:rPr>
                <w:rFonts w:ascii="Times New Roman" w:eastAsia="Times New Roman" w:hAnsi="Times New Roman" w:cs="Times New Roman"/>
                <w:b/>
                <w:bCs/>
                <w:color w:val="000000"/>
                <w:sz w:val="24"/>
                <w:szCs w:val="24"/>
                <w:lang w:eastAsia="pt-BR"/>
              </w:rPr>
              <w:t xml:space="preserve"> </w:t>
            </w:r>
          </w:p>
        </w:tc>
        <w:tc>
          <w:tcPr>
            <w:tcW w:w="720" w:type="pct"/>
            <w:tcBorders>
              <w:top w:val="nil"/>
              <w:left w:val="nil"/>
              <w:bottom w:val="single" w:sz="8" w:space="0" w:color="auto"/>
              <w:right w:val="single" w:sz="8" w:space="0" w:color="auto"/>
            </w:tcBorders>
            <w:shd w:val="clear" w:color="auto" w:fill="auto"/>
            <w:vAlign w:val="center"/>
            <w:hideMark/>
          </w:tcPr>
          <w:p w14:paraId="63F0649F"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8º I - FI de Ações</w:t>
            </w:r>
          </w:p>
        </w:tc>
        <w:tc>
          <w:tcPr>
            <w:tcW w:w="509" w:type="pct"/>
            <w:tcBorders>
              <w:top w:val="nil"/>
              <w:left w:val="nil"/>
              <w:bottom w:val="single" w:sz="8" w:space="0" w:color="auto"/>
              <w:right w:val="single" w:sz="8" w:space="0" w:color="auto"/>
            </w:tcBorders>
            <w:shd w:val="clear" w:color="auto" w:fill="auto"/>
            <w:vAlign w:val="center"/>
            <w:hideMark/>
          </w:tcPr>
          <w:p w14:paraId="18511981"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30,00%</w:t>
            </w:r>
          </w:p>
        </w:tc>
        <w:tc>
          <w:tcPr>
            <w:tcW w:w="669" w:type="pct"/>
            <w:tcBorders>
              <w:top w:val="single" w:sz="4" w:space="0" w:color="auto"/>
              <w:left w:val="single" w:sz="4" w:space="0" w:color="auto"/>
              <w:bottom w:val="single" w:sz="4" w:space="0" w:color="auto"/>
              <w:right w:val="single" w:sz="4" w:space="0" w:color="auto"/>
            </w:tcBorders>
            <w:shd w:val="clear" w:color="000000" w:fill="FFFFFF"/>
            <w:hideMark/>
          </w:tcPr>
          <w:p w14:paraId="7A4C395C" w14:textId="77777777" w:rsidR="0022573F" w:rsidRPr="0022573F" w:rsidRDefault="0022573F" w:rsidP="0022573F">
            <w:pPr>
              <w:spacing w:before="0" w:after="0"/>
              <w:jc w:val="righ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41.473.873,19</w:t>
            </w:r>
          </w:p>
        </w:tc>
        <w:tc>
          <w:tcPr>
            <w:tcW w:w="401" w:type="pct"/>
            <w:tcBorders>
              <w:top w:val="single" w:sz="4" w:space="0" w:color="auto"/>
              <w:left w:val="nil"/>
              <w:bottom w:val="single" w:sz="4" w:space="0" w:color="auto"/>
              <w:right w:val="single" w:sz="4" w:space="0" w:color="auto"/>
            </w:tcBorders>
            <w:shd w:val="clear" w:color="000000" w:fill="FFFFFF"/>
            <w:hideMark/>
          </w:tcPr>
          <w:p w14:paraId="594173E9" w14:textId="77777777" w:rsidR="0022573F" w:rsidRPr="0022573F" w:rsidRDefault="0022573F" w:rsidP="0022573F">
            <w:pPr>
              <w:spacing w:before="0" w:after="0"/>
              <w:jc w:val="righ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11,76%</w:t>
            </w:r>
          </w:p>
        </w:tc>
        <w:tc>
          <w:tcPr>
            <w:tcW w:w="373" w:type="pct"/>
            <w:tcBorders>
              <w:top w:val="nil"/>
              <w:left w:val="nil"/>
              <w:bottom w:val="single" w:sz="8" w:space="0" w:color="auto"/>
              <w:right w:val="single" w:sz="8" w:space="0" w:color="auto"/>
            </w:tcBorders>
            <w:shd w:val="clear" w:color="auto" w:fill="auto"/>
            <w:vAlign w:val="center"/>
            <w:hideMark/>
          </w:tcPr>
          <w:p w14:paraId="3F08844A"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44C7F22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12,00%</w:t>
            </w:r>
          </w:p>
        </w:tc>
        <w:tc>
          <w:tcPr>
            <w:tcW w:w="429" w:type="pct"/>
            <w:tcBorders>
              <w:top w:val="nil"/>
              <w:left w:val="nil"/>
              <w:bottom w:val="single" w:sz="8" w:space="0" w:color="auto"/>
              <w:right w:val="single" w:sz="8" w:space="0" w:color="auto"/>
            </w:tcBorders>
            <w:shd w:val="clear" w:color="auto" w:fill="auto"/>
            <w:vAlign w:val="center"/>
            <w:hideMark/>
          </w:tcPr>
          <w:p w14:paraId="45A0E7BB"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30,00%</w:t>
            </w:r>
          </w:p>
        </w:tc>
        <w:tc>
          <w:tcPr>
            <w:tcW w:w="373" w:type="pct"/>
            <w:tcBorders>
              <w:top w:val="nil"/>
              <w:left w:val="nil"/>
              <w:bottom w:val="single" w:sz="8" w:space="0" w:color="auto"/>
              <w:right w:val="single" w:sz="8" w:space="0" w:color="auto"/>
            </w:tcBorders>
            <w:shd w:val="clear" w:color="auto" w:fill="auto"/>
            <w:vAlign w:val="center"/>
            <w:hideMark/>
          </w:tcPr>
          <w:p w14:paraId="48E6C18E"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579C4F8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30,00%</w:t>
            </w:r>
          </w:p>
        </w:tc>
      </w:tr>
      <w:tr w:rsidR="0022573F" w:rsidRPr="0022573F" w14:paraId="05AA5C25" w14:textId="77777777" w:rsidTr="0022573F">
        <w:trPr>
          <w:trHeight w:val="185"/>
        </w:trPr>
        <w:tc>
          <w:tcPr>
            <w:tcW w:w="606" w:type="pct"/>
            <w:vMerge/>
            <w:tcBorders>
              <w:top w:val="single" w:sz="8" w:space="0" w:color="auto"/>
              <w:left w:val="single" w:sz="8" w:space="0" w:color="auto"/>
              <w:bottom w:val="single" w:sz="8" w:space="0" w:color="000000"/>
              <w:right w:val="single" w:sz="8" w:space="0" w:color="auto"/>
            </w:tcBorders>
            <w:vAlign w:val="center"/>
            <w:hideMark/>
          </w:tcPr>
          <w:p w14:paraId="64A15886"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1CCE09F6"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8º II - ETF - Índice de Ações</w:t>
            </w:r>
          </w:p>
        </w:tc>
        <w:tc>
          <w:tcPr>
            <w:tcW w:w="509" w:type="pct"/>
            <w:tcBorders>
              <w:top w:val="nil"/>
              <w:left w:val="nil"/>
              <w:bottom w:val="single" w:sz="8" w:space="0" w:color="auto"/>
              <w:right w:val="single" w:sz="8" w:space="0" w:color="auto"/>
            </w:tcBorders>
            <w:shd w:val="clear" w:color="auto" w:fill="auto"/>
            <w:vAlign w:val="center"/>
            <w:hideMark/>
          </w:tcPr>
          <w:p w14:paraId="2760F0D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30,00%</w:t>
            </w:r>
          </w:p>
        </w:tc>
        <w:tc>
          <w:tcPr>
            <w:tcW w:w="669" w:type="pct"/>
            <w:tcBorders>
              <w:top w:val="single" w:sz="8" w:space="0" w:color="auto"/>
              <w:left w:val="nil"/>
              <w:bottom w:val="single" w:sz="8" w:space="0" w:color="auto"/>
              <w:right w:val="single" w:sz="8" w:space="0" w:color="auto"/>
            </w:tcBorders>
            <w:shd w:val="clear" w:color="000000" w:fill="FFFFFF"/>
            <w:hideMark/>
          </w:tcPr>
          <w:p w14:paraId="4D036295"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401" w:type="pct"/>
            <w:tcBorders>
              <w:top w:val="single" w:sz="8" w:space="0" w:color="auto"/>
              <w:left w:val="nil"/>
              <w:bottom w:val="single" w:sz="8" w:space="0" w:color="auto"/>
              <w:right w:val="single" w:sz="8" w:space="0" w:color="auto"/>
            </w:tcBorders>
            <w:shd w:val="clear" w:color="000000" w:fill="FFFFFF"/>
            <w:hideMark/>
          </w:tcPr>
          <w:p w14:paraId="15E9D41C"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373" w:type="pct"/>
            <w:tcBorders>
              <w:top w:val="nil"/>
              <w:left w:val="nil"/>
              <w:bottom w:val="single" w:sz="8" w:space="0" w:color="auto"/>
              <w:right w:val="single" w:sz="8" w:space="0" w:color="auto"/>
            </w:tcBorders>
            <w:shd w:val="clear" w:color="auto" w:fill="auto"/>
            <w:vAlign w:val="center"/>
            <w:hideMark/>
          </w:tcPr>
          <w:p w14:paraId="467AF1D1"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759BA8E1"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6FAAA44A"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373" w:type="pct"/>
            <w:tcBorders>
              <w:top w:val="nil"/>
              <w:left w:val="nil"/>
              <w:bottom w:val="single" w:sz="8" w:space="0" w:color="auto"/>
              <w:right w:val="single" w:sz="8" w:space="0" w:color="auto"/>
            </w:tcBorders>
            <w:shd w:val="clear" w:color="auto" w:fill="auto"/>
            <w:vAlign w:val="center"/>
            <w:hideMark/>
          </w:tcPr>
          <w:p w14:paraId="006DA219"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08F04C43"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r>
      <w:tr w:rsidR="0022573F" w:rsidRPr="0022573F" w14:paraId="6BC5A3C5" w14:textId="77777777" w:rsidTr="0022573F">
        <w:trPr>
          <w:trHeight w:val="185"/>
        </w:trPr>
        <w:tc>
          <w:tcPr>
            <w:tcW w:w="606" w:type="pct"/>
            <w:vMerge/>
            <w:tcBorders>
              <w:top w:val="single" w:sz="8" w:space="0" w:color="auto"/>
              <w:left w:val="single" w:sz="8" w:space="0" w:color="auto"/>
              <w:bottom w:val="single" w:sz="8" w:space="0" w:color="000000"/>
              <w:right w:val="single" w:sz="8" w:space="0" w:color="auto"/>
            </w:tcBorders>
            <w:vAlign w:val="center"/>
            <w:hideMark/>
          </w:tcPr>
          <w:p w14:paraId="739DA016"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01136DBC"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10º I - FI Multimercado</w:t>
            </w:r>
          </w:p>
        </w:tc>
        <w:tc>
          <w:tcPr>
            <w:tcW w:w="509" w:type="pct"/>
            <w:tcBorders>
              <w:top w:val="nil"/>
              <w:left w:val="nil"/>
              <w:bottom w:val="single" w:sz="8" w:space="0" w:color="auto"/>
              <w:right w:val="single" w:sz="8" w:space="0" w:color="auto"/>
            </w:tcBorders>
            <w:shd w:val="clear" w:color="auto" w:fill="auto"/>
            <w:vAlign w:val="center"/>
            <w:hideMark/>
          </w:tcPr>
          <w:p w14:paraId="61657938"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10,00%</w:t>
            </w:r>
          </w:p>
        </w:tc>
        <w:tc>
          <w:tcPr>
            <w:tcW w:w="669" w:type="pct"/>
            <w:tcBorders>
              <w:top w:val="single" w:sz="4" w:space="0" w:color="auto"/>
              <w:left w:val="single" w:sz="4" w:space="0" w:color="auto"/>
              <w:bottom w:val="single" w:sz="4" w:space="0" w:color="auto"/>
              <w:right w:val="single" w:sz="4" w:space="0" w:color="auto"/>
            </w:tcBorders>
            <w:shd w:val="clear" w:color="000000" w:fill="FFFFFF"/>
            <w:hideMark/>
          </w:tcPr>
          <w:p w14:paraId="0CE854D5" w14:textId="77777777" w:rsidR="0022573F" w:rsidRPr="0022573F" w:rsidRDefault="0022573F" w:rsidP="0022573F">
            <w:pPr>
              <w:spacing w:before="0" w:after="0"/>
              <w:jc w:val="righ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7.522.588,87</w:t>
            </w:r>
          </w:p>
        </w:tc>
        <w:tc>
          <w:tcPr>
            <w:tcW w:w="401" w:type="pct"/>
            <w:tcBorders>
              <w:top w:val="single" w:sz="4" w:space="0" w:color="auto"/>
              <w:left w:val="nil"/>
              <w:bottom w:val="single" w:sz="4" w:space="0" w:color="auto"/>
              <w:right w:val="single" w:sz="4" w:space="0" w:color="auto"/>
            </w:tcBorders>
            <w:shd w:val="clear" w:color="000000" w:fill="FFFFFF"/>
            <w:hideMark/>
          </w:tcPr>
          <w:p w14:paraId="480B1525" w14:textId="77777777" w:rsidR="0022573F" w:rsidRPr="0022573F" w:rsidRDefault="0022573F" w:rsidP="0022573F">
            <w:pPr>
              <w:spacing w:before="0" w:after="0"/>
              <w:jc w:val="righ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2,13%</w:t>
            </w:r>
          </w:p>
        </w:tc>
        <w:tc>
          <w:tcPr>
            <w:tcW w:w="373" w:type="pct"/>
            <w:tcBorders>
              <w:top w:val="nil"/>
              <w:left w:val="nil"/>
              <w:bottom w:val="single" w:sz="8" w:space="0" w:color="auto"/>
              <w:right w:val="single" w:sz="8" w:space="0" w:color="auto"/>
            </w:tcBorders>
            <w:shd w:val="clear" w:color="auto" w:fill="auto"/>
            <w:vAlign w:val="center"/>
            <w:hideMark/>
          </w:tcPr>
          <w:p w14:paraId="6C36F4E5"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135DE7D6"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3,00%</w:t>
            </w:r>
          </w:p>
        </w:tc>
        <w:tc>
          <w:tcPr>
            <w:tcW w:w="429" w:type="pct"/>
            <w:tcBorders>
              <w:top w:val="nil"/>
              <w:left w:val="nil"/>
              <w:bottom w:val="single" w:sz="8" w:space="0" w:color="auto"/>
              <w:right w:val="single" w:sz="8" w:space="0" w:color="auto"/>
            </w:tcBorders>
            <w:shd w:val="clear" w:color="auto" w:fill="auto"/>
            <w:vAlign w:val="center"/>
            <w:hideMark/>
          </w:tcPr>
          <w:p w14:paraId="1493ACED"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10,00%</w:t>
            </w:r>
          </w:p>
        </w:tc>
        <w:tc>
          <w:tcPr>
            <w:tcW w:w="373" w:type="pct"/>
            <w:tcBorders>
              <w:top w:val="nil"/>
              <w:left w:val="nil"/>
              <w:bottom w:val="single" w:sz="8" w:space="0" w:color="auto"/>
              <w:right w:val="single" w:sz="8" w:space="0" w:color="auto"/>
            </w:tcBorders>
            <w:shd w:val="clear" w:color="auto" w:fill="auto"/>
            <w:vAlign w:val="center"/>
            <w:hideMark/>
          </w:tcPr>
          <w:p w14:paraId="005DABB6"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24910DA8"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10,00%</w:t>
            </w:r>
          </w:p>
        </w:tc>
      </w:tr>
      <w:tr w:rsidR="0022573F" w:rsidRPr="0022573F" w14:paraId="3F4B351B" w14:textId="77777777" w:rsidTr="0022573F">
        <w:trPr>
          <w:trHeight w:val="185"/>
        </w:trPr>
        <w:tc>
          <w:tcPr>
            <w:tcW w:w="606" w:type="pct"/>
            <w:vMerge/>
            <w:tcBorders>
              <w:top w:val="single" w:sz="8" w:space="0" w:color="auto"/>
              <w:left w:val="single" w:sz="8" w:space="0" w:color="auto"/>
              <w:bottom w:val="single" w:sz="8" w:space="0" w:color="000000"/>
              <w:right w:val="single" w:sz="8" w:space="0" w:color="auto"/>
            </w:tcBorders>
            <w:vAlign w:val="center"/>
            <w:hideMark/>
          </w:tcPr>
          <w:p w14:paraId="1828BE92"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6E23A035"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10º II - FI em Participações</w:t>
            </w:r>
          </w:p>
        </w:tc>
        <w:tc>
          <w:tcPr>
            <w:tcW w:w="509" w:type="pct"/>
            <w:tcBorders>
              <w:top w:val="nil"/>
              <w:left w:val="nil"/>
              <w:bottom w:val="single" w:sz="8" w:space="0" w:color="auto"/>
              <w:right w:val="single" w:sz="8" w:space="0" w:color="auto"/>
            </w:tcBorders>
            <w:shd w:val="clear" w:color="auto" w:fill="auto"/>
            <w:vAlign w:val="center"/>
            <w:hideMark/>
          </w:tcPr>
          <w:p w14:paraId="67C601CB"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5,00%</w:t>
            </w:r>
          </w:p>
        </w:tc>
        <w:tc>
          <w:tcPr>
            <w:tcW w:w="669" w:type="pct"/>
            <w:tcBorders>
              <w:top w:val="single" w:sz="8" w:space="0" w:color="auto"/>
              <w:left w:val="nil"/>
              <w:bottom w:val="single" w:sz="8" w:space="0" w:color="auto"/>
              <w:right w:val="single" w:sz="8" w:space="0" w:color="auto"/>
            </w:tcBorders>
            <w:shd w:val="clear" w:color="auto" w:fill="auto"/>
            <w:noWrap/>
            <w:vAlign w:val="bottom"/>
            <w:hideMark/>
          </w:tcPr>
          <w:p w14:paraId="323FC25B" w14:textId="77777777" w:rsidR="0022573F" w:rsidRPr="0022573F" w:rsidRDefault="0022573F" w:rsidP="0022573F">
            <w:pPr>
              <w:spacing w:before="0" w:after="0"/>
              <w:jc w:val="center"/>
              <w:rPr>
                <w:rFonts w:ascii="Calibri" w:eastAsia="Times New Roman" w:hAnsi="Calibri" w:cs="Calibri"/>
                <w:color w:val="000000"/>
                <w:lang w:eastAsia="pt-BR"/>
              </w:rPr>
            </w:pPr>
            <w:r w:rsidRPr="0022573F">
              <w:rPr>
                <w:rFonts w:ascii="Calibri" w:eastAsia="Times New Roman" w:hAnsi="Calibri" w:cs="Calibri"/>
                <w:color w:val="000000"/>
                <w:lang w:eastAsia="pt-BR"/>
              </w:rPr>
              <w:t> </w:t>
            </w:r>
          </w:p>
        </w:tc>
        <w:tc>
          <w:tcPr>
            <w:tcW w:w="401" w:type="pct"/>
            <w:tcBorders>
              <w:top w:val="single" w:sz="8" w:space="0" w:color="auto"/>
              <w:left w:val="nil"/>
              <w:bottom w:val="single" w:sz="8" w:space="0" w:color="auto"/>
              <w:right w:val="single" w:sz="8" w:space="0" w:color="auto"/>
            </w:tcBorders>
            <w:shd w:val="clear" w:color="auto" w:fill="auto"/>
            <w:noWrap/>
            <w:vAlign w:val="bottom"/>
            <w:hideMark/>
          </w:tcPr>
          <w:p w14:paraId="530FEF54" w14:textId="77777777" w:rsidR="0022573F" w:rsidRPr="0022573F" w:rsidRDefault="0022573F" w:rsidP="0022573F">
            <w:pPr>
              <w:spacing w:before="0" w:after="0"/>
              <w:jc w:val="center"/>
              <w:rPr>
                <w:rFonts w:ascii="Calibri" w:eastAsia="Times New Roman" w:hAnsi="Calibri" w:cs="Calibri"/>
                <w:color w:val="000000"/>
                <w:lang w:eastAsia="pt-BR"/>
              </w:rPr>
            </w:pPr>
            <w:r w:rsidRPr="0022573F">
              <w:rPr>
                <w:rFonts w:ascii="Calibri" w:eastAsia="Times New Roman" w:hAnsi="Calibri" w:cs="Calibri"/>
                <w:color w:val="000000"/>
                <w:lang w:eastAsia="pt-BR"/>
              </w:rPr>
              <w:t> </w:t>
            </w:r>
          </w:p>
        </w:tc>
        <w:tc>
          <w:tcPr>
            <w:tcW w:w="373" w:type="pct"/>
            <w:tcBorders>
              <w:top w:val="nil"/>
              <w:left w:val="nil"/>
              <w:bottom w:val="single" w:sz="8" w:space="0" w:color="auto"/>
              <w:right w:val="single" w:sz="8" w:space="0" w:color="auto"/>
            </w:tcBorders>
            <w:shd w:val="clear" w:color="auto" w:fill="auto"/>
            <w:vAlign w:val="center"/>
            <w:hideMark/>
          </w:tcPr>
          <w:p w14:paraId="255D544A"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08776E8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68D7199C"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w:t>
            </w:r>
          </w:p>
        </w:tc>
        <w:tc>
          <w:tcPr>
            <w:tcW w:w="373" w:type="pct"/>
            <w:tcBorders>
              <w:top w:val="nil"/>
              <w:left w:val="nil"/>
              <w:bottom w:val="single" w:sz="8" w:space="0" w:color="auto"/>
              <w:right w:val="single" w:sz="8" w:space="0" w:color="auto"/>
            </w:tcBorders>
            <w:shd w:val="clear" w:color="auto" w:fill="auto"/>
            <w:vAlign w:val="center"/>
            <w:hideMark/>
          </w:tcPr>
          <w:p w14:paraId="1EFE7234"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22700A63"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w:t>
            </w:r>
          </w:p>
        </w:tc>
      </w:tr>
      <w:tr w:rsidR="0022573F" w:rsidRPr="0022573F" w14:paraId="0D12A79D" w14:textId="77777777" w:rsidTr="0022573F">
        <w:trPr>
          <w:trHeight w:val="193"/>
        </w:trPr>
        <w:tc>
          <w:tcPr>
            <w:tcW w:w="606" w:type="pct"/>
            <w:vMerge/>
            <w:tcBorders>
              <w:top w:val="single" w:sz="8" w:space="0" w:color="auto"/>
              <w:left w:val="single" w:sz="8" w:space="0" w:color="auto"/>
              <w:bottom w:val="single" w:sz="8" w:space="0" w:color="000000"/>
              <w:right w:val="single" w:sz="8" w:space="0" w:color="auto"/>
            </w:tcBorders>
            <w:vAlign w:val="center"/>
            <w:hideMark/>
          </w:tcPr>
          <w:p w14:paraId="43412F0A"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36B6717E"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10º III - FI Mercado de Acesso</w:t>
            </w:r>
          </w:p>
        </w:tc>
        <w:tc>
          <w:tcPr>
            <w:tcW w:w="509" w:type="pct"/>
            <w:tcBorders>
              <w:top w:val="nil"/>
              <w:left w:val="nil"/>
              <w:bottom w:val="single" w:sz="8" w:space="0" w:color="auto"/>
              <w:right w:val="single" w:sz="8" w:space="0" w:color="auto"/>
            </w:tcBorders>
            <w:shd w:val="clear" w:color="auto" w:fill="auto"/>
            <w:vAlign w:val="center"/>
            <w:hideMark/>
          </w:tcPr>
          <w:p w14:paraId="102CC6F8"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5,00%</w:t>
            </w:r>
          </w:p>
        </w:tc>
        <w:tc>
          <w:tcPr>
            <w:tcW w:w="669" w:type="pct"/>
            <w:tcBorders>
              <w:top w:val="nil"/>
              <w:left w:val="nil"/>
              <w:bottom w:val="single" w:sz="8" w:space="0" w:color="auto"/>
              <w:right w:val="single" w:sz="8" w:space="0" w:color="auto"/>
            </w:tcBorders>
            <w:shd w:val="clear" w:color="000000" w:fill="FFFFFF"/>
            <w:vAlign w:val="center"/>
            <w:hideMark/>
          </w:tcPr>
          <w:p w14:paraId="20D9C38E"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401" w:type="pct"/>
            <w:tcBorders>
              <w:top w:val="nil"/>
              <w:left w:val="nil"/>
              <w:bottom w:val="single" w:sz="8" w:space="0" w:color="auto"/>
              <w:right w:val="single" w:sz="8" w:space="0" w:color="auto"/>
            </w:tcBorders>
            <w:shd w:val="clear" w:color="000000" w:fill="FFFFFF"/>
            <w:vAlign w:val="center"/>
            <w:hideMark/>
          </w:tcPr>
          <w:p w14:paraId="5D2FDF8C" w14:textId="77777777" w:rsidR="0022573F" w:rsidRPr="0022573F" w:rsidRDefault="0022573F" w:rsidP="0022573F">
            <w:pPr>
              <w:spacing w:before="0" w:after="0"/>
              <w:jc w:val="center"/>
              <w:rPr>
                <w:rFonts w:ascii="Arial" w:eastAsia="Times New Roman" w:hAnsi="Arial" w:cs="Arial"/>
                <w:b/>
                <w:bCs/>
                <w:color w:val="000000"/>
                <w:sz w:val="24"/>
                <w:szCs w:val="24"/>
                <w:lang w:eastAsia="pt-BR"/>
              </w:rPr>
            </w:pPr>
            <w:r w:rsidRPr="0022573F">
              <w:rPr>
                <w:rFonts w:ascii="Arial" w:eastAsia="Times New Roman" w:hAnsi="Arial" w:cs="Arial"/>
                <w:b/>
                <w:bCs/>
                <w:color w:val="000000"/>
                <w:sz w:val="24"/>
                <w:szCs w:val="24"/>
                <w:lang w:eastAsia="pt-BR"/>
              </w:rPr>
              <w:t> </w:t>
            </w:r>
          </w:p>
        </w:tc>
        <w:tc>
          <w:tcPr>
            <w:tcW w:w="373" w:type="pct"/>
            <w:tcBorders>
              <w:top w:val="nil"/>
              <w:left w:val="nil"/>
              <w:bottom w:val="single" w:sz="8" w:space="0" w:color="auto"/>
              <w:right w:val="single" w:sz="8" w:space="0" w:color="auto"/>
            </w:tcBorders>
            <w:shd w:val="clear" w:color="auto" w:fill="auto"/>
            <w:vAlign w:val="center"/>
            <w:hideMark/>
          </w:tcPr>
          <w:p w14:paraId="109FEA35"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61E8BFC1"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39113A69"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373" w:type="pct"/>
            <w:tcBorders>
              <w:top w:val="nil"/>
              <w:left w:val="nil"/>
              <w:bottom w:val="single" w:sz="8" w:space="0" w:color="auto"/>
              <w:right w:val="single" w:sz="8" w:space="0" w:color="auto"/>
            </w:tcBorders>
            <w:shd w:val="clear" w:color="auto" w:fill="auto"/>
            <w:vAlign w:val="center"/>
            <w:hideMark/>
          </w:tcPr>
          <w:p w14:paraId="64FAAC2D"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7FAC38F9"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r>
      <w:tr w:rsidR="0022573F" w:rsidRPr="0022573F" w14:paraId="03178C1B" w14:textId="77777777" w:rsidTr="0022573F">
        <w:trPr>
          <w:trHeight w:val="185"/>
        </w:trPr>
        <w:tc>
          <w:tcPr>
            <w:tcW w:w="606" w:type="pct"/>
            <w:vMerge/>
            <w:tcBorders>
              <w:top w:val="single" w:sz="8" w:space="0" w:color="auto"/>
              <w:left w:val="single" w:sz="8" w:space="0" w:color="auto"/>
              <w:bottom w:val="single" w:sz="8" w:space="0" w:color="000000"/>
              <w:right w:val="single" w:sz="8" w:space="0" w:color="auto"/>
            </w:tcBorders>
            <w:vAlign w:val="center"/>
            <w:hideMark/>
          </w:tcPr>
          <w:p w14:paraId="1FB4EEF4"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7B3FD3F7"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11º - FI Imobiliário</w:t>
            </w:r>
          </w:p>
        </w:tc>
        <w:tc>
          <w:tcPr>
            <w:tcW w:w="509" w:type="pct"/>
            <w:tcBorders>
              <w:top w:val="nil"/>
              <w:left w:val="nil"/>
              <w:bottom w:val="single" w:sz="8" w:space="0" w:color="auto"/>
              <w:right w:val="single" w:sz="8" w:space="0" w:color="auto"/>
            </w:tcBorders>
            <w:shd w:val="clear" w:color="auto" w:fill="auto"/>
            <w:vAlign w:val="center"/>
            <w:hideMark/>
          </w:tcPr>
          <w:p w14:paraId="5AB395F4"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5,00%</w:t>
            </w:r>
          </w:p>
        </w:tc>
        <w:tc>
          <w:tcPr>
            <w:tcW w:w="669" w:type="pct"/>
            <w:tcBorders>
              <w:top w:val="nil"/>
              <w:left w:val="nil"/>
              <w:bottom w:val="single" w:sz="8" w:space="0" w:color="auto"/>
              <w:right w:val="single" w:sz="8" w:space="0" w:color="auto"/>
            </w:tcBorders>
            <w:shd w:val="clear" w:color="000000" w:fill="FFFFFF"/>
            <w:vAlign w:val="center"/>
            <w:hideMark/>
          </w:tcPr>
          <w:p w14:paraId="368C88C8"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401" w:type="pct"/>
            <w:tcBorders>
              <w:top w:val="nil"/>
              <w:left w:val="nil"/>
              <w:bottom w:val="single" w:sz="8" w:space="0" w:color="auto"/>
              <w:right w:val="single" w:sz="8" w:space="0" w:color="auto"/>
            </w:tcBorders>
            <w:shd w:val="clear" w:color="000000" w:fill="FFFFFF"/>
            <w:vAlign w:val="center"/>
            <w:hideMark/>
          </w:tcPr>
          <w:p w14:paraId="48684403" w14:textId="77777777" w:rsidR="0022573F" w:rsidRPr="0022573F" w:rsidRDefault="0022573F" w:rsidP="0022573F">
            <w:pPr>
              <w:spacing w:before="0" w:after="0"/>
              <w:jc w:val="center"/>
              <w:rPr>
                <w:rFonts w:ascii="Arial" w:eastAsia="Times New Roman" w:hAnsi="Arial" w:cs="Arial"/>
                <w:color w:val="000000"/>
                <w:sz w:val="24"/>
                <w:szCs w:val="24"/>
                <w:lang w:eastAsia="pt-BR"/>
              </w:rPr>
            </w:pPr>
            <w:r w:rsidRPr="0022573F">
              <w:rPr>
                <w:rFonts w:ascii="Arial" w:eastAsia="Times New Roman" w:hAnsi="Arial" w:cs="Arial"/>
                <w:color w:val="000000"/>
                <w:sz w:val="24"/>
                <w:szCs w:val="24"/>
                <w:lang w:eastAsia="pt-BR"/>
              </w:rPr>
              <w:t> </w:t>
            </w:r>
          </w:p>
        </w:tc>
        <w:tc>
          <w:tcPr>
            <w:tcW w:w="373" w:type="pct"/>
            <w:tcBorders>
              <w:top w:val="nil"/>
              <w:left w:val="nil"/>
              <w:bottom w:val="single" w:sz="8" w:space="0" w:color="auto"/>
              <w:right w:val="single" w:sz="8" w:space="0" w:color="auto"/>
            </w:tcBorders>
            <w:shd w:val="clear" w:color="auto" w:fill="auto"/>
            <w:vAlign w:val="center"/>
            <w:hideMark/>
          </w:tcPr>
          <w:p w14:paraId="6305FB6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7789C5B3"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7B7261D4"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w:t>
            </w:r>
          </w:p>
        </w:tc>
        <w:tc>
          <w:tcPr>
            <w:tcW w:w="373" w:type="pct"/>
            <w:tcBorders>
              <w:top w:val="nil"/>
              <w:left w:val="nil"/>
              <w:bottom w:val="single" w:sz="8" w:space="0" w:color="auto"/>
              <w:right w:val="single" w:sz="8" w:space="0" w:color="auto"/>
            </w:tcBorders>
            <w:shd w:val="clear" w:color="auto" w:fill="auto"/>
            <w:vAlign w:val="center"/>
            <w:hideMark/>
          </w:tcPr>
          <w:p w14:paraId="6E200151"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5CDF71A4"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w:t>
            </w:r>
          </w:p>
        </w:tc>
      </w:tr>
      <w:tr w:rsidR="0022573F" w:rsidRPr="0022573F" w14:paraId="4C61307F" w14:textId="77777777" w:rsidTr="0022573F">
        <w:trPr>
          <w:trHeight w:val="273"/>
        </w:trPr>
        <w:tc>
          <w:tcPr>
            <w:tcW w:w="606" w:type="pct"/>
            <w:tcBorders>
              <w:top w:val="nil"/>
              <w:left w:val="nil"/>
              <w:bottom w:val="nil"/>
              <w:right w:val="single" w:sz="8" w:space="0" w:color="auto"/>
            </w:tcBorders>
            <w:shd w:val="clear" w:color="auto" w:fill="auto"/>
            <w:vAlign w:val="center"/>
            <w:hideMark/>
          </w:tcPr>
          <w:p w14:paraId="39668E06"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 </w:t>
            </w:r>
            <w:r w:rsidRPr="0022573F">
              <w:rPr>
                <w:rFonts w:ascii="Times New Roman" w:eastAsia="Times New Roman" w:hAnsi="Times New Roman" w:cs="Times New Roman"/>
                <w:b/>
                <w:bCs/>
                <w:color w:val="000000"/>
                <w:sz w:val="24"/>
                <w:szCs w:val="24"/>
                <w:lang w:eastAsia="pt-BR"/>
              </w:rPr>
              <w:t xml:space="preserve"> </w:t>
            </w:r>
          </w:p>
        </w:tc>
        <w:tc>
          <w:tcPr>
            <w:tcW w:w="720" w:type="pct"/>
            <w:tcBorders>
              <w:top w:val="nil"/>
              <w:left w:val="nil"/>
              <w:bottom w:val="single" w:sz="8" w:space="0" w:color="auto"/>
              <w:right w:val="single" w:sz="8" w:space="0" w:color="auto"/>
            </w:tcBorders>
            <w:shd w:val="clear" w:color="000000" w:fill="D9D9D9"/>
            <w:vAlign w:val="center"/>
            <w:hideMark/>
          </w:tcPr>
          <w:p w14:paraId="2E634816"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Limite de Renda Variável, Estruturado e FII</w:t>
            </w:r>
            <w:r w:rsidRPr="0022573F">
              <w:rPr>
                <w:rFonts w:ascii="Times New Roman" w:eastAsia="Times New Roman" w:hAnsi="Times New Roman" w:cs="Times New Roman"/>
                <w:b/>
                <w:bCs/>
                <w:color w:val="000000"/>
                <w:sz w:val="24"/>
                <w:szCs w:val="24"/>
                <w:lang w:eastAsia="pt-BR"/>
              </w:rPr>
              <w:t xml:space="preserve"> </w:t>
            </w:r>
          </w:p>
        </w:tc>
        <w:tc>
          <w:tcPr>
            <w:tcW w:w="509" w:type="pct"/>
            <w:tcBorders>
              <w:top w:val="nil"/>
              <w:left w:val="nil"/>
              <w:bottom w:val="single" w:sz="8" w:space="0" w:color="auto"/>
              <w:right w:val="single" w:sz="8" w:space="0" w:color="auto"/>
            </w:tcBorders>
            <w:shd w:val="clear" w:color="000000" w:fill="D9D9D9"/>
            <w:vAlign w:val="center"/>
            <w:hideMark/>
          </w:tcPr>
          <w:p w14:paraId="31D13E8C"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30,00%</w:t>
            </w:r>
          </w:p>
        </w:tc>
        <w:tc>
          <w:tcPr>
            <w:tcW w:w="669" w:type="pct"/>
            <w:tcBorders>
              <w:top w:val="nil"/>
              <w:left w:val="nil"/>
              <w:bottom w:val="single" w:sz="8" w:space="0" w:color="auto"/>
              <w:right w:val="single" w:sz="8" w:space="0" w:color="auto"/>
            </w:tcBorders>
            <w:shd w:val="clear" w:color="000000" w:fill="D9D9D9"/>
            <w:vAlign w:val="center"/>
            <w:hideMark/>
          </w:tcPr>
          <w:p w14:paraId="4359506F"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 xml:space="preserve"> R$    48.996.462,06 </w:t>
            </w:r>
          </w:p>
        </w:tc>
        <w:tc>
          <w:tcPr>
            <w:tcW w:w="401" w:type="pct"/>
            <w:tcBorders>
              <w:top w:val="nil"/>
              <w:left w:val="nil"/>
              <w:bottom w:val="single" w:sz="8" w:space="0" w:color="auto"/>
              <w:right w:val="single" w:sz="8" w:space="0" w:color="auto"/>
            </w:tcBorders>
            <w:shd w:val="clear" w:color="000000" w:fill="D9D9D9"/>
            <w:vAlign w:val="center"/>
            <w:hideMark/>
          </w:tcPr>
          <w:p w14:paraId="546F886A"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13,89%</w:t>
            </w:r>
          </w:p>
        </w:tc>
        <w:tc>
          <w:tcPr>
            <w:tcW w:w="373" w:type="pct"/>
            <w:tcBorders>
              <w:top w:val="nil"/>
              <w:left w:val="nil"/>
              <w:bottom w:val="single" w:sz="8" w:space="0" w:color="auto"/>
              <w:right w:val="single" w:sz="8" w:space="0" w:color="auto"/>
            </w:tcBorders>
            <w:shd w:val="clear" w:color="000000" w:fill="D9D9D9"/>
            <w:vAlign w:val="center"/>
            <w:hideMark/>
          </w:tcPr>
          <w:p w14:paraId="55D13F65"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0,00%</w:t>
            </w:r>
          </w:p>
        </w:tc>
        <w:tc>
          <w:tcPr>
            <w:tcW w:w="490" w:type="pct"/>
            <w:tcBorders>
              <w:top w:val="nil"/>
              <w:left w:val="nil"/>
              <w:bottom w:val="single" w:sz="8" w:space="0" w:color="auto"/>
              <w:right w:val="single" w:sz="8" w:space="0" w:color="auto"/>
            </w:tcBorders>
            <w:shd w:val="clear" w:color="000000" w:fill="D9D9D9"/>
            <w:vAlign w:val="center"/>
            <w:hideMark/>
          </w:tcPr>
          <w:p w14:paraId="5779ED51"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15,00%</w:t>
            </w:r>
          </w:p>
        </w:tc>
        <w:tc>
          <w:tcPr>
            <w:tcW w:w="429" w:type="pct"/>
            <w:tcBorders>
              <w:top w:val="nil"/>
              <w:left w:val="nil"/>
              <w:bottom w:val="single" w:sz="8" w:space="0" w:color="auto"/>
              <w:right w:val="single" w:sz="8" w:space="0" w:color="auto"/>
            </w:tcBorders>
            <w:shd w:val="clear" w:color="000000" w:fill="D9D9D9"/>
            <w:vAlign w:val="center"/>
            <w:hideMark/>
          </w:tcPr>
          <w:p w14:paraId="7B921E47"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42,00%</w:t>
            </w:r>
          </w:p>
        </w:tc>
        <w:tc>
          <w:tcPr>
            <w:tcW w:w="373" w:type="pct"/>
            <w:tcBorders>
              <w:top w:val="nil"/>
              <w:left w:val="nil"/>
              <w:bottom w:val="single" w:sz="8" w:space="0" w:color="auto"/>
              <w:right w:val="single" w:sz="8" w:space="0" w:color="auto"/>
            </w:tcBorders>
            <w:shd w:val="clear" w:color="000000" w:fill="D9D9D9"/>
            <w:vAlign w:val="center"/>
            <w:hideMark/>
          </w:tcPr>
          <w:p w14:paraId="2FA0928A"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0,00%</w:t>
            </w:r>
          </w:p>
        </w:tc>
        <w:tc>
          <w:tcPr>
            <w:tcW w:w="429" w:type="pct"/>
            <w:tcBorders>
              <w:top w:val="nil"/>
              <w:left w:val="nil"/>
              <w:bottom w:val="single" w:sz="8" w:space="0" w:color="auto"/>
              <w:right w:val="single" w:sz="8" w:space="0" w:color="auto"/>
            </w:tcBorders>
            <w:shd w:val="clear" w:color="000000" w:fill="D9D9D9"/>
            <w:vAlign w:val="center"/>
            <w:hideMark/>
          </w:tcPr>
          <w:p w14:paraId="3E227EA4"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42,00%</w:t>
            </w:r>
          </w:p>
        </w:tc>
      </w:tr>
      <w:tr w:rsidR="0022573F" w:rsidRPr="0022573F" w14:paraId="69C65F71" w14:textId="77777777" w:rsidTr="0022573F">
        <w:trPr>
          <w:trHeight w:val="185"/>
        </w:trPr>
        <w:tc>
          <w:tcPr>
            <w:tcW w:w="60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78E4696"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Exterior</w:t>
            </w:r>
            <w:r w:rsidRPr="0022573F">
              <w:rPr>
                <w:rFonts w:ascii="Times New Roman" w:eastAsia="Times New Roman" w:hAnsi="Times New Roman" w:cs="Times New Roman"/>
                <w:b/>
                <w:bCs/>
                <w:color w:val="000000"/>
                <w:sz w:val="24"/>
                <w:szCs w:val="24"/>
                <w:lang w:eastAsia="pt-BR"/>
              </w:rPr>
              <w:t xml:space="preserve"> </w:t>
            </w:r>
          </w:p>
        </w:tc>
        <w:tc>
          <w:tcPr>
            <w:tcW w:w="720" w:type="pct"/>
            <w:tcBorders>
              <w:top w:val="nil"/>
              <w:left w:val="nil"/>
              <w:bottom w:val="single" w:sz="8" w:space="0" w:color="auto"/>
              <w:right w:val="single" w:sz="8" w:space="0" w:color="auto"/>
            </w:tcBorders>
            <w:shd w:val="clear" w:color="auto" w:fill="auto"/>
            <w:vAlign w:val="center"/>
            <w:hideMark/>
          </w:tcPr>
          <w:p w14:paraId="3836C927"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9º I - Renda Fixa - Dívida Externa</w:t>
            </w:r>
          </w:p>
        </w:tc>
        <w:tc>
          <w:tcPr>
            <w:tcW w:w="509" w:type="pct"/>
            <w:tcBorders>
              <w:top w:val="nil"/>
              <w:left w:val="nil"/>
              <w:bottom w:val="single" w:sz="8" w:space="0" w:color="auto"/>
              <w:right w:val="single" w:sz="8" w:space="0" w:color="auto"/>
            </w:tcBorders>
            <w:shd w:val="clear" w:color="auto" w:fill="auto"/>
            <w:vAlign w:val="center"/>
            <w:hideMark/>
          </w:tcPr>
          <w:p w14:paraId="28CF9CC9"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10,00%</w:t>
            </w:r>
          </w:p>
        </w:tc>
        <w:tc>
          <w:tcPr>
            <w:tcW w:w="669" w:type="pct"/>
            <w:tcBorders>
              <w:top w:val="nil"/>
              <w:left w:val="nil"/>
              <w:bottom w:val="single" w:sz="8" w:space="0" w:color="auto"/>
              <w:right w:val="single" w:sz="8" w:space="0" w:color="auto"/>
            </w:tcBorders>
            <w:shd w:val="clear" w:color="000000" w:fill="FFFFFF"/>
            <w:vAlign w:val="center"/>
            <w:hideMark/>
          </w:tcPr>
          <w:p w14:paraId="3FBE86AA"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401" w:type="pct"/>
            <w:tcBorders>
              <w:top w:val="nil"/>
              <w:left w:val="nil"/>
              <w:bottom w:val="single" w:sz="8" w:space="0" w:color="auto"/>
              <w:right w:val="single" w:sz="8" w:space="0" w:color="auto"/>
            </w:tcBorders>
            <w:shd w:val="clear" w:color="000000" w:fill="FFFFFF"/>
            <w:vAlign w:val="center"/>
            <w:hideMark/>
          </w:tcPr>
          <w:p w14:paraId="0B40F1B7" w14:textId="77777777" w:rsidR="0022573F" w:rsidRPr="0022573F" w:rsidRDefault="0022573F" w:rsidP="0022573F">
            <w:pPr>
              <w:spacing w:before="0" w:after="0"/>
              <w:jc w:val="center"/>
              <w:rPr>
                <w:rFonts w:ascii="Arial" w:eastAsia="Times New Roman" w:hAnsi="Arial" w:cs="Arial"/>
                <w:b/>
                <w:bCs/>
                <w:color w:val="000000"/>
                <w:sz w:val="24"/>
                <w:szCs w:val="24"/>
                <w:lang w:eastAsia="pt-BR"/>
              </w:rPr>
            </w:pPr>
            <w:r w:rsidRPr="0022573F">
              <w:rPr>
                <w:rFonts w:ascii="Arial" w:eastAsia="Times New Roman" w:hAnsi="Arial" w:cs="Arial"/>
                <w:b/>
                <w:bCs/>
                <w:color w:val="000000"/>
                <w:sz w:val="24"/>
                <w:szCs w:val="24"/>
                <w:lang w:eastAsia="pt-BR"/>
              </w:rPr>
              <w:t> </w:t>
            </w:r>
          </w:p>
        </w:tc>
        <w:tc>
          <w:tcPr>
            <w:tcW w:w="373" w:type="pct"/>
            <w:tcBorders>
              <w:top w:val="nil"/>
              <w:left w:val="nil"/>
              <w:bottom w:val="single" w:sz="8" w:space="0" w:color="auto"/>
              <w:right w:val="single" w:sz="8" w:space="0" w:color="auto"/>
            </w:tcBorders>
            <w:shd w:val="clear" w:color="auto" w:fill="auto"/>
            <w:vAlign w:val="center"/>
            <w:hideMark/>
          </w:tcPr>
          <w:p w14:paraId="5585B7AC"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05E41230"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199A609B"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373" w:type="pct"/>
            <w:tcBorders>
              <w:top w:val="nil"/>
              <w:left w:val="nil"/>
              <w:bottom w:val="single" w:sz="8" w:space="0" w:color="auto"/>
              <w:right w:val="single" w:sz="8" w:space="0" w:color="auto"/>
            </w:tcBorders>
            <w:shd w:val="clear" w:color="auto" w:fill="auto"/>
            <w:vAlign w:val="center"/>
            <w:hideMark/>
          </w:tcPr>
          <w:p w14:paraId="5278D161"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0005637D"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r>
      <w:tr w:rsidR="0022573F" w:rsidRPr="0022573F" w14:paraId="244EA814" w14:textId="77777777" w:rsidTr="0022573F">
        <w:trPr>
          <w:trHeight w:val="185"/>
        </w:trPr>
        <w:tc>
          <w:tcPr>
            <w:tcW w:w="606" w:type="pct"/>
            <w:vMerge/>
            <w:tcBorders>
              <w:top w:val="single" w:sz="8" w:space="0" w:color="auto"/>
              <w:left w:val="single" w:sz="8" w:space="0" w:color="auto"/>
              <w:bottom w:val="single" w:sz="8" w:space="0" w:color="000000"/>
              <w:right w:val="single" w:sz="8" w:space="0" w:color="auto"/>
            </w:tcBorders>
            <w:vAlign w:val="center"/>
            <w:hideMark/>
          </w:tcPr>
          <w:p w14:paraId="7A485242"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43889E5E"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9º II - Constituídos no Brasil</w:t>
            </w:r>
          </w:p>
        </w:tc>
        <w:tc>
          <w:tcPr>
            <w:tcW w:w="509" w:type="pct"/>
            <w:tcBorders>
              <w:top w:val="nil"/>
              <w:left w:val="nil"/>
              <w:bottom w:val="single" w:sz="8" w:space="0" w:color="auto"/>
              <w:right w:val="single" w:sz="8" w:space="0" w:color="auto"/>
            </w:tcBorders>
            <w:shd w:val="clear" w:color="auto" w:fill="auto"/>
            <w:vAlign w:val="center"/>
            <w:hideMark/>
          </w:tcPr>
          <w:p w14:paraId="6B3067AB"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10,00%</w:t>
            </w:r>
          </w:p>
        </w:tc>
        <w:tc>
          <w:tcPr>
            <w:tcW w:w="669" w:type="pct"/>
            <w:tcBorders>
              <w:top w:val="nil"/>
              <w:left w:val="nil"/>
              <w:bottom w:val="single" w:sz="8" w:space="0" w:color="auto"/>
              <w:right w:val="single" w:sz="8" w:space="0" w:color="auto"/>
            </w:tcBorders>
            <w:shd w:val="clear" w:color="000000" w:fill="FFFFFF"/>
            <w:hideMark/>
          </w:tcPr>
          <w:p w14:paraId="3B05FE10"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401" w:type="pct"/>
            <w:tcBorders>
              <w:top w:val="nil"/>
              <w:left w:val="nil"/>
              <w:bottom w:val="single" w:sz="8" w:space="0" w:color="auto"/>
              <w:right w:val="single" w:sz="8" w:space="0" w:color="auto"/>
            </w:tcBorders>
            <w:shd w:val="clear" w:color="000000" w:fill="FFFFFF"/>
            <w:hideMark/>
          </w:tcPr>
          <w:p w14:paraId="6FF077DD"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 </w:t>
            </w:r>
          </w:p>
        </w:tc>
        <w:tc>
          <w:tcPr>
            <w:tcW w:w="373" w:type="pct"/>
            <w:tcBorders>
              <w:top w:val="nil"/>
              <w:left w:val="nil"/>
              <w:bottom w:val="single" w:sz="8" w:space="0" w:color="auto"/>
              <w:right w:val="single" w:sz="8" w:space="0" w:color="auto"/>
            </w:tcBorders>
            <w:shd w:val="clear" w:color="auto" w:fill="auto"/>
            <w:vAlign w:val="center"/>
            <w:hideMark/>
          </w:tcPr>
          <w:p w14:paraId="7733412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0456AC44"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0C1B6A5F"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373" w:type="pct"/>
            <w:tcBorders>
              <w:top w:val="nil"/>
              <w:left w:val="nil"/>
              <w:bottom w:val="single" w:sz="8" w:space="0" w:color="auto"/>
              <w:right w:val="single" w:sz="8" w:space="0" w:color="auto"/>
            </w:tcBorders>
            <w:shd w:val="clear" w:color="auto" w:fill="auto"/>
            <w:vAlign w:val="center"/>
            <w:hideMark/>
          </w:tcPr>
          <w:p w14:paraId="12CC84CC"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4B0F481F"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r>
      <w:tr w:rsidR="0022573F" w:rsidRPr="0022573F" w14:paraId="2228C509" w14:textId="77777777" w:rsidTr="0022573F">
        <w:trPr>
          <w:trHeight w:val="185"/>
        </w:trPr>
        <w:tc>
          <w:tcPr>
            <w:tcW w:w="606" w:type="pct"/>
            <w:vMerge/>
            <w:tcBorders>
              <w:top w:val="single" w:sz="8" w:space="0" w:color="auto"/>
              <w:left w:val="single" w:sz="8" w:space="0" w:color="auto"/>
              <w:bottom w:val="single" w:sz="8" w:space="0" w:color="000000"/>
              <w:right w:val="single" w:sz="8" w:space="0" w:color="auto"/>
            </w:tcBorders>
            <w:vAlign w:val="center"/>
            <w:hideMark/>
          </w:tcPr>
          <w:p w14:paraId="7892C06F"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p>
        </w:tc>
        <w:tc>
          <w:tcPr>
            <w:tcW w:w="720" w:type="pct"/>
            <w:tcBorders>
              <w:top w:val="nil"/>
              <w:left w:val="nil"/>
              <w:bottom w:val="single" w:sz="8" w:space="0" w:color="auto"/>
              <w:right w:val="single" w:sz="8" w:space="0" w:color="auto"/>
            </w:tcBorders>
            <w:shd w:val="clear" w:color="auto" w:fill="auto"/>
            <w:vAlign w:val="center"/>
            <w:hideMark/>
          </w:tcPr>
          <w:p w14:paraId="30ED52DE"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9º III - Ações - BDR Nível I</w:t>
            </w:r>
          </w:p>
        </w:tc>
        <w:tc>
          <w:tcPr>
            <w:tcW w:w="509" w:type="pct"/>
            <w:tcBorders>
              <w:top w:val="nil"/>
              <w:left w:val="nil"/>
              <w:bottom w:val="single" w:sz="8" w:space="0" w:color="auto"/>
              <w:right w:val="single" w:sz="8" w:space="0" w:color="auto"/>
            </w:tcBorders>
            <w:shd w:val="clear" w:color="auto" w:fill="auto"/>
            <w:vAlign w:val="center"/>
            <w:hideMark/>
          </w:tcPr>
          <w:p w14:paraId="1B90E1E5"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10,00%</w:t>
            </w:r>
          </w:p>
        </w:tc>
        <w:tc>
          <w:tcPr>
            <w:tcW w:w="669" w:type="pct"/>
            <w:tcBorders>
              <w:top w:val="single" w:sz="4" w:space="0" w:color="auto"/>
              <w:left w:val="single" w:sz="4" w:space="0" w:color="auto"/>
              <w:bottom w:val="single" w:sz="4" w:space="0" w:color="auto"/>
              <w:right w:val="single" w:sz="4" w:space="0" w:color="auto"/>
            </w:tcBorders>
            <w:shd w:val="clear" w:color="000000" w:fill="F5F5F5"/>
            <w:hideMark/>
          </w:tcPr>
          <w:p w14:paraId="2036E077" w14:textId="77777777" w:rsidR="0022573F" w:rsidRPr="0022573F" w:rsidRDefault="0022573F" w:rsidP="0022573F">
            <w:pPr>
              <w:spacing w:before="0" w:after="0"/>
              <w:jc w:val="righ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8.608.370,65</w:t>
            </w:r>
          </w:p>
        </w:tc>
        <w:tc>
          <w:tcPr>
            <w:tcW w:w="401" w:type="pct"/>
            <w:tcBorders>
              <w:top w:val="single" w:sz="4" w:space="0" w:color="auto"/>
              <w:left w:val="nil"/>
              <w:bottom w:val="single" w:sz="4" w:space="0" w:color="auto"/>
              <w:right w:val="single" w:sz="4" w:space="0" w:color="auto"/>
            </w:tcBorders>
            <w:shd w:val="clear" w:color="000000" w:fill="F5F5F5"/>
            <w:hideMark/>
          </w:tcPr>
          <w:p w14:paraId="744DF9A3" w14:textId="77777777" w:rsidR="0022573F" w:rsidRPr="0022573F" w:rsidRDefault="0022573F" w:rsidP="0022573F">
            <w:pPr>
              <w:spacing w:before="0" w:after="0"/>
              <w:jc w:val="righ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2,44%</w:t>
            </w:r>
          </w:p>
        </w:tc>
        <w:tc>
          <w:tcPr>
            <w:tcW w:w="373" w:type="pct"/>
            <w:tcBorders>
              <w:top w:val="nil"/>
              <w:left w:val="nil"/>
              <w:bottom w:val="single" w:sz="8" w:space="0" w:color="auto"/>
              <w:right w:val="single" w:sz="8" w:space="0" w:color="auto"/>
            </w:tcBorders>
            <w:shd w:val="clear" w:color="auto" w:fill="auto"/>
            <w:vAlign w:val="center"/>
            <w:hideMark/>
          </w:tcPr>
          <w:p w14:paraId="6E6EDC32"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90" w:type="pct"/>
            <w:tcBorders>
              <w:top w:val="nil"/>
              <w:left w:val="nil"/>
              <w:bottom w:val="single" w:sz="8" w:space="0" w:color="auto"/>
              <w:right w:val="single" w:sz="8" w:space="0" w:color="auto"/>
            </w:tcBorders>
            <w:shd w:val="clear" w:color="auto" w:fill="auto"/>
            <w:vAlign w:val="center"/>
            <w:hideMark/>
          </w:tcPr>
          <w:p w14:paraId="2E025F47"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2,00%</w:t>
            </w:r>
          </w:p>
        </w:tc>
        <w:tc>
          <w:tcPr>
            <w:tcW w:w="429" w:type="pct"/>
            <w:tcBorders>
              <w:top w:val="nil"/>
              <w:left w:val="nil"/>
              <w:bottom w:val="single" w:sz="8" w:space="0" w:color="auto"/>
              <w:right w:val="single" w:sz="8" w:space="0" w:color="auto"/>
            </w:tcBorders>
            <w:shd w:val="clear" w:color="auto" w:fill="auto"/>
            <w:vAlign w:val="center"/>
            <w:hideMark/>
          </w:tcPr>
          <w:p w14:paraId="2C0DFD09"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10,00%</w:t>
            </w:r>
          </w:p>
        </w:tc>
        <w:tc>
          <w:tcPr>
            <w:tcW w:w="373" w:type="pct"/>
            <w:tcBorders>
              <w:top w:val="nil"/>
              <w:left w:val="nil"/>
              <w:bottom w:val="single" w:sz="8" w:space="0" w:color="auto"/>
              <w:right w:val="single" w:sz="8" w:space="0" w:color="auto"/>
            </w:tcBorders>
            <w:shd w:val="clear" w:color="auto" w:fill="auto"/>
            <w:vAlign w:val="center"/>
            <w:hideMark/>
          </w:tcPr>
          <w:p w14:paraId="2FB11EBB"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0,00%</w:t>
            </w:r>
          </w:p>
        </w:tc>
        <w:tc>
          <w:tcPr>
            <w:tcW w:w="429" w:type="pct"/>
            <w:tcBorders>
              <w:top w:val="nil"/>
              <w:left w:val="nil"/>
              <w:bottom w:val="single" w:sz="8" w:space="0" w:color="auto"/>
              <w:right w:val="single" w:sz="8" w:space="0" w:color="auto"/>
            </w:tcBorders>
            <w:shd w:val="clear" w:color="auto" w:fill="auto"/>
            <w:vAlign w:val="center"/>
            <w:hideMark/>
          </w:tcPr>
          <w:p w14:paraId="38F4CB51" w14:textId="77777777" w:rsidR="0022573F" w:rsidRPr="0022573F" w:rsidRDefault="0022573F" w:rsidP="0022573F">
            <w:pPr>
              <w:spacing w:before="0" w:after="0"/>
              <w:jc w:val="center"/>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10,00%</w:t>
            </w:r>
          </w:p>
        </w:tc>
      </w:tr>
      <w:tr w:rsidR="0022573F" w:rsidRPr="0022573F" w14:paraId="252DEC39" w14:textId="77777777" w:rsidTr="0022573F">
        <w:trPr>
          <w:trHeight w:val="273"/>
        </w:trPr>
        <w:tc>
          <w:tcPr>
            <w:tcW w:w="606" w:type="pct"/>
            <w:tcBorders>
              <w:top w:val="nil"/>
              <w:left w:val="single" w:sz="8" w:space="0" w:color="auto"/>
              <w:bottom w:val="single" w:sz="8" w:space="0" w:color="auto"/>
              <w:right w:val="single" w:sz="8" w:space="0" w:color="auto"/>
            </w:tcBorders>
            <w:shd w:val="clear" w:color="000000" w:fill="D9D9D9"/>
            <w:vAlign w:val="center"/>
            <w:hideMark/>
          </w:tcPr>
          <w:p w14:paraId="111B9F3F" w14:textId="77777777" w:rsidR="0022573F" w:rsidRPr="0022573F" w:rsidRDefault="0022573F" w:rsidP="0022573F">
            <w:pPr>
              <w:spacing w:before="0" w:after="0"/>
              <w:jc w:val="center"/>
              <w:rPr>
                <w:rFonts w:ascii="Arial" w:eastAsia="Times New Roman" w:hAnsi="Arial" w:cs="Arial"/>
                <w:b/>
                <w:bCs/>
                <w:color w:val="000000"/>
                <w:sz w:val="24"/>
                <w:szCs w:val="24"/>
                <w:lang w:eastAsia="pt-BR"/>
              </w:rPr>
            </w:pPr>
            <w:r w:rsidRPr="0022573F">
              <w:rPr>
                <w:rFonts w:ascii="Arial" w:eastAsia="Times New Roman" w:hAnsi="Arial" w:cs="Arial"/>
                <w:b/>
                <w:bCs/>
                <w:color w:val="000000"/>
                <w:sz w:val="24"/>
                <w:szCs w:val="24"/>
                <w:lang w:eastAsia="pt-BR"/>
              </w:rPr>
              <w:lastRenderedPageBreak/>
              <w:t> </w:t>
            </w:r>
            <w:r w:rsidRPr="0022573F">
              <w:rPr>
                <w:rFonts w:ascii="Times New Roman" w:eastAsia="Times New Roman" w:hAnsi="Times New Roman" w:cs="Times New Roman"/>
                <w:b/>
                <w:bCs/>
                <w:color w:val="000000"/>
                <w:sz w:val="24"/>
                <w:szCs w:val="24"/>
                <w:lang w:eastAsia="pt-BR"/>
              </w:rPr>
              <w:t xml:space="preserve"> </w:t>
            </w:r>
          </w:p>
        </w:tc>
        <w:tc>
          <w:tcPr>
            <w:tcW w:w="720" w:type="pct"/>
            <w:tcBorders>
              <w:top w:val="nil"/>
              <w:left w:val="nil"/>
              <w:bottom w:val="single" w:sz="8" w:space="0" w:color="auto"/>
              <w:right w:val="single" w:sz="8" w:space="0" w:color="auto"/>
            </w:tcBorders>
            <w:shd w:val="clear" w:color="000000" w:fill="D9D9D9"/>
            <w:vAlign w:val="center"/>
            <w:hideMark/>
          </w:tcPr>
          <w:p w14:paraId="6BB8F778"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 xml:space="preserve">Limite de Investimentos no Exterior </w:t>
            </w:r>
          </w:p>
        </w:tc>
        <w:tc>
          <w:tcPr>
            <w:tcW w:w="509" w:type="pct"/>
            <w:tcBorders>
              <w:top w:val="nil"/>
              <w:left w:val="nil"/>
              <w:bottom w:val="single" w:sz="8" w:space="0" w:color="auto"/>
              <w:right w:val="single" w:sz="8" w:space="0" w:color="auto"/>
            </w:tcBorders>
            <w:shd w:val="clear" w:color="000000" w:fill="D9D9D9"/>
            <w:vAlign w:val="center"/>
            <w:hideMark/>
          </w:tcPr>
          <w:p w14:paraId="31FAB0A7"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10,00%</w:t>
            </w:r>
          </w:p>
        </w:tc>
        <w:tc>
          <w:tcPr>
            <w:tcW w:w="669" w:type="pct"/>
            <w:tcBorders>
              <w:top w:val="nil"/>
              <w:left w:val="nil"/>
              <w:bottom w:val="single" w:sz="8" w:space="0" w:color="auto"/>
              <w:right w:val="single" w:sz="8" w:space="0" w:color="auto"/>
            </w:tcBorders>
            <w:shd w:val="clear" w:color="000000" w:fill="D9D9D9"/>
            <w:vAlign w:val="center"/>
            <w:hideMark/>
          </w:tcPr>
          <w:p w14:paraId="7957CC75"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 xml:space="preserve"> R$      8.608.370,65 </w:t>
            </w:r>
          </w:p>
        </w:tc>
        <w:tc>
          <w:tcPr>
            <w:tcW w:w="401" w:type="pct"/>
            <w:tcBorders>
              <w:top w:val="nil"/>
              <w:left w:val="nil"/>
              <w:bottom w:val="single" w:sz="8" w:space="0" w:color="auto"/>
              <w:right w:val="single" w:sz="8" w:space="0" w:color="auto"/>
            </w:tcBorders>
            <w:shd w:val="clear" w:color="000000" w:fill="D9D9D9"/>
            <w:vAlign w:val="center"/>
            <w:hideMark/>
          </w:tcPr>
          <w:p w14:paraId="384BA3E2"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2,44%</w:t>
            </w:r>
          </w:p>
        </w:tc>
        <w:tc>
          <w:tcPr>
            <w:tcW w:w="373" w:type="pct"/>
            <w:tcBorders>
              <w:top w:val="nil"/>
              <w:left w:val="nil"/>
              <w:bottom w:val="single" w:sz="8" w:space="0" w:color="auto"/>
              <w:right w:val="single" w:sz="8" w:space="0" w:color="auto"/>
            </w:tcBorders>
            <w:shd w:val="clear" w:color="000000" w:fill="D9D9D9"/>
            <w:vAlign w:val="center"/>
            <w:hideMark/>
          </w:tcPr>
          <w:p w14:paraId="48DAE6D9"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0,00%</w:t>
            </w:r>
          </w:p>
        </w:tc>
        <w:tc>
          <w:tcPr>
            <w:tcW w:w="490" w:type="pct"/>
            <w:tcBorders>
              <w:top w:val="nil"/>
              <w:left w:val="nil"/>
              <w:bottom w:val="single" w:sz="8" w:space="0" w:color="auto"/>
              <w:right w:val="single" w:sz="8" w:space="0" w:color="auto"/>
            </w:tcBorders>
            <w:shd w:val="clear" w:color="000000" w:fill="D9D9D9"/>
            <w:vAlign w:val="center"/>
            <w:hideMark/>
          </w:tcPr>
          <w:p w14:paraId="10D6F331"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2,00%</w:t>
            </w:r>
          </w:p>
        </w:tc>
        <w:tc>
          <w:tcPr>
            <w:tcW w:w="429" w:type="pct"/>
            <w:tcBorders>
              <w:top w:val="nil"/>
              <w:left w:val="nil"/>
              <w:bottom w:val="single" w:sz="8" w:space="0" w:color="auto"/>
              <w:right w:val="single" w:sz="8" w:space="0" w:color="auto"/>
            </w:tcBorders>
            <w:shd w:val="clear" w:color="000000" w:fill="D9D9D9"/>
            <w:vAlign w:val="center"/>
            <w:hideMark/>
          </w:tcPr>
          <w:p w14:paraId="213C68E8"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10,00%</w:t>
            </w:r>
          </w:p>
        </w:tc>
        <w:tc>
          <w:tcPr>
            <w:tcW w:w="373" w:type="pct"/>
            <w:tcBorders>
              <w:top w:val="nil"/>
              <w:left w:val="nil"/>
              <w:bottom w:val="single" w:sz="8" w:space="0" w:color="auto"/>
              <w:right w:val="single" w:sz="8" w:space="0" w:color="auto"/>
            </w:tcBorders>
            <w:shd w:val="clear" w:color="000000" w:fill="D9D9D9"/>
            <w:vAlign w:val="center"/>
            <w:hideMark/>
          </w:tcPr>
          <w:p w14:paraId="25915869"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0,00%</w:t>
            </w:r>
          </w:p>
        </w:tc>
        <w:tc>
          <w:tcPr>
            <w:tcW w:w="429" w:type="pct"/>
            <w:tcBorders>
              <w:top w:val="nil"/>
              <w:left w:val="nil"/>
              <w:bottom w:val="single" w:sz="8" w:space="0" w:color="auto"/>
              <w:right w:val="single" w:sz="8" w:space="0" w:color="auto"/>
            </w:tcBorders>
            <w:shd w:val="clear" w:color="000000" w:fill="D9D9D9"/>
            <w:vAlign w:val="center"/>
            <w:hideMark/>
          </w:tcPr>
          <w:p w14:paraId="53F97C99"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10,00%</w:t>
            </w:r>
          </w:p>
        </w:tc>
      </w:tr>
      <w:tr w:rsidR="0022573F" w:rsidRPr="0022573F" w14:paraId="7A510A48" w14:textId="77777777" w:rsidTr="0022573F">
        <w:trPr>
          <w:trHeight w:val="193"/>
        </w:trPr>
        <w:tc>
          <w:tcPr>
            <w:tcW w:w="606" w:type="pct"/>
            <w:tcBorders>
              <w:top w:val="nil"/>
              <w:left w:val="single" w:sz="8" w:space="0" w:color="auto"/>
              <w:bottom w:val="single" w:sz="8" w:space="0" w:color="auto"/>
              <w:right w:val="single" w:sz="8" w:space="0" w:color="auto"/>
            </w:tcBorders>
            <w:shd w:val="clear" w:color="000000" w:fill="D9D9D9"/>
            <w:vAlign w:val="center"/>
            <w:hideMark/>
          </w:tcPr>
          <w:p w14:paraId="6DCC1D19"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Consignado</w:t>
            </w:r>
            <w:r w:rsidRPr="0022573F">
              <w:rPr>
                <w:rFonts w:ascii="Times New Roman" w:eastAsia="Times New Roman" w:hAnsi="Times New Roman" w:cs="Times New Roman"/>
                <w:b/>
                <w:bCs/>
                <w:color w:val="000000"/>
                <w:sz w:val="24"/>
                <w:szCs w:val="24"/>
                <w:lang w:eastAsia="pt-BR"/>
              </w:rPr>
              <w:t xml:space="preserve"> </w:t>
            </w:r>
          </w:p>
        </w:tc>
        <w:tc>
          <w:tcPr>
            <w:tcW w:w="720" w:type="pct"/>
            <w:tcBorders>
              <w:top w:val="nil"/>
              <w:left w:val="nil"/>
              <w:bottom w:val="single" w:sz="8" w:space="0" w:color="auto"/>
              <w:right w:val="single" w:sz="8" w:space="0" w:color="auto"/>
            </w:tcBorders>
            <w:shd w:val="clear" w:color="auto" w:fill="auto"/>
            <w:vAlign w:val="center"/>
            <w:hideMark/>
          </w:tcPr>
          <w:p w14:paraId="4A85327B" w14:textId="77777777" w:rsidR="0022573F" w:rsidRPr="0022573F" w:rsidRDefault="0022573F" w:rsidP="0022573F">
            <w:pPr>
              <w:spacing w:before="0" w:after="0"/>
              <w:jc w:val="left"/>
              <w:rPr>
                <w:rFonts w:ascii="Arial" w:eastAsia="Times New Roman" w:hAnsi="Arial" w:cs="Arial"/>
                <w:color w:val="000000"/>
                <w:sz w:val="16"/>
                <w:szCs w:val="16"/>
                <w:lang w:eastAsia="pt-BR"/>
              </w:rPr>
            </w:pPr>
            <w:r w:rsidRPr="0022573F">
              <w:rPr>
                <w:rFonts w:ascii="Arial" w:eastAsia="Times New Roman" w:hAnsi="Arial" w:cs="Arial"/>
                <w:color w:val="000000"/>
                <w:sz w:val="16"/>
                <w:szCs w:val="16"/>
                <w:lang w:eastAsia="pt-BR"/>
              </w:rPr>
              <w:t>12º - Empréstimo Consignado</w:t>
            </w:r>
          </w:p>
        </w:tc>
        <w:tc>
          <w:tcPr>
            <w:tcW w:w="509" w:type="pct"/>
            <w:tcBorders>
              <w:top w:val="nil"/>
              <w:left w:val="nil"/>
              <w:bottom w:val="single" w:sz="8" w:space="0" w:color="auto"/>
              <w:right w:val="single" w:sz="8" w:space="0" w:color="auto"/>
            </w:tcBorders>
            <w:shd w:val="clear" w:color="auto" w:fill="auto"/>
            <w:vAlign w:val="center"/>
            <w:hideMark/>
          </w:tcPr>
          <w:p w14:paraId="72EE6FD3"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5,00%</w:t>
            </w:r>
          </w:p>
        </w:tc>
        <w:tc>
          <w:tcPr>
            <w:tcW w:w="669" w:type="pct"/>
            <w:tcBorders>
              <w:top w:val="nil"/>
              <w:left w:val="nil"/>
              <w:bottom w:val="single" w:sz="8" w:space="0" w:color="auto"/>
              <w:right w:val="single" w:sz="8" w:space="0" w:color="auto"/>
            </w:tcBorders>
            <w:shd w:val="clear" w:color="000000" w:fill="D9D9D9"/>
            <w:vAlign w:val="center"/>
            <w:hideMark/>
          </w:tcPr>
          <w:p w14:paraId="4044D502"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 </w:t>
            </w:r>
          </w:p>
        </w:tc>
        <w:tc>
          <w:tcPr>
            <w:tcW w:w="401" w:type="pct"/>
            <w:tcBorders>
              <w:top w:val="nil"/>
              <w:left w:val="nil"/>
              <w:bottom w:val="single" w:sz="8" w:space="0" w:color="auto"/>
              <w:right w:val="single" w:sz="8" w:space="0" w:color="auto"/>
            </w:tcBorders>
            <w:shd w:val="clear" w:color="000000" w:fill="D9D9D9"/>
            <w:vAlign w:val="center"/>
            <w:hideMark/>
          </w:tcPr>
          <w:p w14:paraId="2BAC822C" w14:textId="77777777" w:rsidR="0022573F" w:rsidRPr="0022573F" w:rsidRDefault="0022573F" w:rsidP="0022573F">
            <w:pPr>
              <w:spacing w:before="0" w:after="0"/>
              <w:jc w:val="center"/>
              <w:rPr>
                <w:rFonts w:ascii="Arial" w:eastAsia="Times New Roman" w:hAnsi="Arial" w:cs="Arial"/>
                <w:b/>
                <w:bCs/>
                <w:color w:val="000000"/>
                <w:sz w:val="24"/>
                <w:szCs w:val="24"/>
                <w:lang w:eastAsia="pt-BR"/>
              </w:rPr>
            </w:pPr>
            <w:r w:rsidRPr="0022573F">
              <w:rPr>
                <w:rFonts w:ascii="Arial" w:eastAsia="Times New Roman" w:hAnsi="Arial" w:cs="Arial"/>
                <w:b/>
                <w:bCs/>
                <w:color w:val="000000"/>
                <w:sz w:val="24"/>
                <w:szCs w:val="24"/>
                <w:lang w:eastAsia="pt-BR"/>
              </w:rPr>
              <w:t> </w:t>
            </w:r>
          </w:p>
        </w:tc>
        <w:tc>
          <w:tcPr>
            <w:tcW w:w="373" w:type="pct"/>
            <w:tcBorders>
              <w:top w:val="nil"/>
              <w:left w:val="nil"/>
              <w:bottom w:val="single" w:sz="8" w:space="0" w:color="auto"/>
              <w:right w:val="single" w:sz="8" w:space="0" w:color="auto"/>
            </w:tcBorders>
            <w:shd w:val="clear" w:color="000000" w:fill="D9D9D9"/>
            <w:vAlign w:val="center"/>
            <w:hideMark/>
          </w:tcPr>
          <w:p w14:paraId="140AA0A9"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0,00%</w:t>
            </w:r>
          </w:p>
        </w:tc>
        <w:tc>
          <w:tcPr>
            <w:tcW w:w="490" w:type="pct"/>
            <w:tcBorders>
              <w:top w:val="nil"/>
              <w:left w:val="nil"/>
              <w:bottom w:val="single" w:sz="8" w:space="0" w:color="auto"/>
              <w:right w:val="single" w:sz="8" w:space="0" w:color="auto"/>
            </w:tcBorders>
            <w:shd w:val="clear" w:color="000000" w:fill="D9D9D9"/>
            <w:vAlign w:val="center"/>
            <w:hideMark/>
          </w:tcPr>
          <w:p w14:paraId="76C24297"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0,00%</w:t>
            </w:r>
          </w:p>
        </w:tc>
        <w:tc>
          <w:tcPr>
            <w:tcW w:w="429" w:type="pct"/>
            <w:tcBorders>
              <w:top w:val="nil"/>
              <w:left w:val="nil"/>
              <w:bottom w:val="single" w:sz="8" w:space="0" w:color="auto"/>
              <w:right w:val="single" w:sz="8" w:space="0" w:color="auto"/>
            </w:tcBorders>
            <w:shd w:val="clear" w:color="000000" w:fill="D9D9D9"/>
            <w:vAlign w:val="center"/>
            <w:hideMark/>
          </w:tcPr>
          <w:p w14:paraId="15819AD6"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0,00%</w:t>
            </w:r>
          </w:p>
        </w:tc>
        <w:tc>
          <w:tcPr>
            <w:tcW w:w="373" w:type="pct"/>
            <w:tcBorders>
              <w:top w:val="nil"/>
              <w:left w:val="nil"/>
              <w:bottom w:val="single" w:sz="8" w:space="0" w:color="auto"/>
              <w:right w:val="single" w:sz="8" w:space="0" w:color="auto"/>
            </w:tcBorders>
            <w:shd w:val="clear" w:color="000000" w:fill="D9D9D9"/>
            <w:vAlign w:val="center"/>
            <w:hideMark/>
          </w:tcPr>
          <w:p w14:paraId="281DC083"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0,00%</w:t>
            </w:r>
          </w:p>
        </w:tc>
        <w:tc>
          <w:tcPr>
            <w:tcW w:w="429" w:type="pct"/>
            <w:tcBorders>
              <w:top w:val="nil"/>
              <w:left w:val="nil"/>
              <w:bottom w:val="single" w:sz="8" w:space="0" w:color="auto"/>
              <w:right w:val="single" w:sz="8" w:space="0" w:color="auto"/>
            </w:tcBorders>
            <w:shd w:val="clear" w:color="000000" w:fill="D9D9D9"/>
            <w:vAlign w:val="center"/>
            <w:hideMark/>
          </w:tcPr>
          <w:p w14:paraId="186F20FB"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0,00%</w:t>
            </w:r>
          </w:p>
        </w:tc>
      </w:tr>
      <w:tr w:rsidR="0022573F" w:rsidRPr="0022573F" w14:paraId="0C28D488" w14:textId="77777777" w:rsidTr="0022573F">
        <w:trPr>
          <w:trHeight w:val="273"/>
        </w:trPr>
        <w:tc>
          <w:tcPr>
            <w:tcW w:w="606" w:type="pct"/>
            <w:tcBorders>
              <w:top w:val="nil"/>
              <w:left w:val="nil"/>
              <w:bottom w:val="nil"/>
              <w:right w:val="single" w:sz="8" w:space="0" w:color="auto"/>
            </w:tcBorders>
            <w:shd w:val="clear" w:color="auto" w:fill="auto"/>
            <w:vAlign w:val="center"/>
            <w:hideMark/>
          </w:tcPr>
          <w:p w14:paraId="120468D7" w14:textId="77777777" w:rsidR="0022573F" w:rsidRPr="0022573F" w:rsidRDefault="0022573F" w:rsidP="0022573F">
            <w:pPr>
              <w:spacing w:before="0" w:after="0"/>
              <w:jc w:val="center"/>
              <w:rPr>
                <w:rFonts w:ascii="Arial" w:eastAsia="Times New Roman" w:hAnsi="Arial" w:cs="Arial"/>
                <w:b/>
                <w:bCs/>
                <w:color w:val="000000"/>
                <w:sz w:val="24"/>
                <w:szCs w:val="24"/>
                <w:lang w:eastAsia="pt-BR"/>
              </w:rPr>
            </w:pPr>
            <w:r w:rsidRPr="0022573F">
              <w:rPr>
                <w:rFonts w:ascii="Arial" w:eastAsia="Times New Roman" w:hAnsi="Arial" w:cs="Arial"/>
                <w:b/>
                <w:bCs/>
                <w:color w:val="000000"/>
                <w:sz w:val="24"/>
                <w:szCs w:val="24"/>
                <w:lang w:eastAsia="pt-BR"/>
              </w:rPr>
              <w:t> </w:t>
            </w:r>
            <w:r w:rsidRPr="0022573F">
              <w:rPr>
                <w:rFonts w:ascii="Times New Roman" w:eastAsia="Times New Roman" w:hAnsi="Times New Roman" w:cs="Times New Roman"/>
                <w:b/>
                <w:bCs/>
                <w:color w:val="000000"/>
                <w:sz w:val="24"/>
                <w:szCs w:val="24"/>
                <w:lang w:eastAsia="pt-BR"/>
              </w:rPr>
              <w:t xml:space="preserve"> </w:t>
            </w:r>
          </w:p>
        </w:tc>
        <w:tc>
          <w:tcPr>
            <w:tcW w:w="720" w:type="pct"/>
            <w:tcBorders>
              <w:top w:val="nil"/>
              <w:left w:val="nil"/>
              <w:bottom w:val="single" w:sz="8" w:space="0" w:color="auto"/>
              <w:right w:val="nil"/>
            </w:tcBorders>
            <w:shd w:val="clear" w:color="000000" w:fill="D9D9D9"/>
            <w:vAlign w:val="center"/>
            <w:hideMark/>
          </w:tcPr>
          <w:p w14:paraId="4E36BD2C" w14:textId="77777777" w:rsidR="0022573F" w:rsidRPr="0022573F" w:rsidRDefault="0022573F" w:rsidP="0022573F">
            <w:pPr>
              <w:spacing w:before="0" w:after="0"/>
              <w:jc w:val="left"/>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 xml:space="preserve">Total da Carteira de Investimentos </w:t>
            </w:r>
          </w:p>
        </w:tc>
        <w:tc>
          <w:tcPr>
            <w:tcW w:w="509" w:type="pct"/>
            <w:tcBorders>
              <w:top w:val="nil"/>
              <w:left w:val="single" w:sz="8" w:space="0" w:color="auto"/>
              <w:bottom w:val="single" w:sz="8" w:space="0" w:color="auto"/>
              <w:right w:val="single" w:sz="8" w:space="0" w:color="auto"/>
            </w:tcBorders>
            <w:shd w:val="clear" w:color="000000" w:fill="D9D9D9"/>
            <w:vAlign w:val="center"/>
            <w:hideMark/>
          </w:tcPr>
          <w:p w14:paraId="25041C40" w14:textId="77777777" w:rsidR="0022573F" w:rsidRPr="0022573F" w:rsidRDefault="0022573F" w:rsidP="0022573F">
            <w:pPr>
              <w:spacing w:before="0" w:after="0"/>
              <w:jc w:val="center"/>
              <w:rPr>
                <w:rFonts w:ascii="Times New Roman" w:eastAsia="Times New Roman" w:hAnsi="Times New Roman" w:cs="Times New Roman"/>
                <w:color w:val="000000"/>
                <w:sz w:val="20"/>
                <w:szCs w:val="20"/>
                <w:lang w:eastAsia="pt-BR"/>
              </w:rPr>
            </w:pPr>
            <w:r w:rsidRPr="0022573F">
              <w:rPr>
                <w:rFonts w:ascii="Times New Roman" w:eastAsia="Times New Roman" w:hAnsi="Times New Roman" w:cs="Times New Roman"/>
                <w:color w:val="000000"/>
                <w:sz w:val="20"/>
                <w:szCs w:val="20"/>
                <w:lang w:eastAsia="pt-BR"/>
              </w:rPr>
              <w:t> </w:t>
            </w:r>
          </w:p>
        </w:tc>
        <w:tc>
          <w:tcPr>
            <w:tcW w:w="669" w:type="pct"/>
            <w:tcBorders>
              <w:top w:val="nil"/>
              <w:left w:val="nil"/>
              <w:bottom w:val="single" w:sz="8" w:space="0" w:color="auto"/>
              <w:right w:val="single" w:sz="8" w:space="0" w:color="auto"/>
            </w:tcBorders>
            <w:shd w:val="clear" w:color="000000" w:fill="D9D9D9"/>
            <w:vAlign w:val="center"/>
            <w:hideMark/>
          </w:tcPr>
          <w:p w14:paraId="29BC7FDE"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 xml:space="preserve"> R$  352.682.286,07 </w:t>
            </w:r>
          </w:p>
        </w:tc>
        <w:tc>
          <w:tcPr>
            <w:tcW w:w="401" w:type="pct"/>
            <w:tcBorders>
              <w:top w:val="nil"/>
              <w:left w:val="nil"/>
              <w:bottom w:val="single" w:sz="8" w:space="0" w:color="auto"/>
              <w:right w:val="single" w:sz="8" w:space="0" w:color="auto"/>
            </w:tcBorders>
            <w:shd w:val="clear" w:color="000000" w:fill="D9D9D9"/>
            <w:vAlign w:val="center"/>
            <w:hideMark/>
          </w:tcPr>
          <w:p w14:paraId="3F823F77" w14:textId="7677A3DC" w:rsidR="0022573F" w:rsidRPr="0022573F" w:rsidRDefault="00703C6E" w:rsidP="00703C6E">
            <w:pPr>
              <w:spacing w:before="0" w:after="0"/>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100,00</w:t>
            </w:r>
            <w:r w:rsidR="0022573F" w:rsidRPr="0022573F">
              <w:rPr>
                <w:rFonts w:ascii="Arial" w:eastAsia="Times New Roman" w:hAnsi="Arial" w:cs="Arial"/>
                <w:b/>
                <w:bCs/>
                <w:color w:val="000000"/>
                <w:sz w:val="16"/>
                <w:szCs w:val="16"/>
                <w:lang w:eastAsia="pt-BR"/>
              </w:rPr>
              <w:t>%</w:t>
            </w:r>
          </w:p>
        </w:tc>
        <w:tc>
          <w:tcPr>
            <w:tcW w:w="373" w:type="pct"/>
            <w:tcBorders>
              <w:top w:val="nil"/>
              <w:left w:val="nil"/>
              <w:bottom w:val="single" w:sz="8" w:space="0" w:color="auto"/>
              <w:right w:val="single" w:sz="8" w:space="0" w:color="auto"/>
            </w:tcBorders>
            <w:shd w:val="clear" w:color="000000" w:fill="D9D9D9"/>
            <w:vAlign w:val="center"/>
            <w:hideMark/>
          </w:tcPr>
          <w:p w14:paraId="02C98D94"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40,50%</w:t>
            </w:r>
          </w:p>
        </w:tc>
        <w:tc>
          <w:tcPr>
            <w:tcW w:w="490" w:type="pct"/>
            <w:tcBorders>
              <w:top w:val="nil"/>
              <w:left w:val="nil"/>
              <w:bottom w:val="single" w:sz="8" w:space="0" w:color="auto"/>
              <w:right w:val="single" w:sz="8" w:space="0" w:color="auto"/>
            </w:tcBorders>
            <w:shd w:val="clear" w:color="000000" w:fill="D9D9D9"/>
            <w:vAlign w:val="center"/>
            <w:hideMark/>
          </w:tcPr>
          <w:p w14:paraId="094915F9"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100,00%</w:t>
            </w:r>
          </w:p>
        </w:tc>
        <w:tc>
          <w:tcPr>
            <w:tcW w:w="429" w:type="pct"/>
            <w:tcBorders>
              <w:top w:val="nil"/>
              <w:left w:val="nil"/>
              <w:bottom w:val="single" w:sz="8" w:space="0" w:color="auto"/>
              <w:right w:val="single" w:sz="8" w:space="0" w:color="auto"/>
            </w:tcBorders>
            <w:shd w:val="clear" w:color="000000" w:fill="D9D9D9"/>
            <w:vAlign w:val="center"/>
            <w:hideMark/>
          </w:tcPr>
          <w:p w14:paraId="53DCB591"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267,00%</w:t>
            </w:r>
          </w:p>
        </w:tc>
        <w:tc>
          <w:tcPr>
            <w:tcW w:w="373" w:type="pct"/>
            <w:tcBorders>
              <w:top w:val="nil"/>
              <w:left w:val="nil"/>
              <w:bottom w:val="single" w:sz="8" w:space="0" w:color="auto"/>
              <w:right w:val="single" w:sz="8" w:space="0" w:color="auto"/>
            </w:tcBorders>
            <w:shd w:val="clear" w:color="000000" w:fill="D9D9D9"/>
            <w:vAlign w:val="center"/>
            <w:hideMark/>
          </w:tcPr>
          <w:p w14:paraId="552E70C7"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40,50%</w:t>
            </w:r>
          </w:p>
        </w:tc>
        <w:tc>
          <w:tcPr>
            <w:tcW w:w="429" w:type="pct"/>
            <w:tcBorders>
              <w:top w:val="nil"/>
              <w:left w:val="nil"/>
              <w:bottom w:val="single" w:sz="8" w:space="0" w:color="auto"/>
              <w:right w:val="single" w:sz="8" w:space="0" w:color="auto"/>
            </w:tcBorders>
            <w:shd w:val="clear" w:color="000000" w:fill="D9D9D9"/>
            <w:vAlign w:val="center"/>
            <w:hideMark/>
          </w:tcPr>
          <w:p w14:paraId="71A96F89" w14:textId="77777777" w:rsidR="0022573F" w:rsidRPr="0022573F" w:rsidRDefault="0022573F" w:rsidP="0022573F">
            <w:pPr>
              <w:spacing w:before="0" w:after="0"/>
              <w:jc w:val="center"/>
              <w:rPr>
                <w:rFonts w:ascii="Arial" w:eastAsia="Times New Roman" w:hAnsi="Arial" w:cs="Arial"/>
                <w:b/>
                <w:bCs/>
                <w:color w:val="000000"/>
                <w:sz w:val="16"/>
                <w:szCs w:val="16"/>
                <w:lang w:eastAsia="pt-BR"/>
              </w:rPr>
            </w:pPr>
            <w:r w:rsidRPr="0022573F">
              <w:rPr>
                <w:rFonts w:ascii="Arial" w:eastAsia="Times New Roman" w:hAnsi="Arial" w:cs="Arial"/>
                <w:b/>
                <w:bCs/>
                <w:color w:val="000000"/>
                <w:sz w:val="16"/>
                <w:szCs w:val="16"/>
                <w:lang w:eastAsia="pt-BR"/>
              </w:rPr>
              <w:t>267,00%</w:t>
            </w:r>
          </w:p>
        </w:tc>
      </w:tr>
    </w:tbl>
    <w:p w14:paraId="2B896EA6" w14:textId="77777777" w:rsidR="00D20D05" w:rsidRDefault="00D20D05" w:rsidP="00500AE2">
      <w:pPr>
        <w:spacing w:beforeLines="120" w:before="288" w:after="0"/>
        <w:jc w:val="center"/>
        <w:rPr>
          <w:rFonts w:asciiTheme="minorHAnsi" w:hAnsiTheme="minorHAnsi" w:cstheme="minorHAnsi"/>
          <w:b/>
          <w:bCs/>
          <w:sz w:val="16"/>
          <w:szCs w:val="16"/>
        </w:rPr>
      </w:pPr>
    </w:p>
    <w:p w14:paraId="19DC926E" w14:textId="7EDC54DB"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Para a elaboração e definição dos limites apresentados foram considerados inclusive as análises mercadológicas e as perspectivas, bem como a compatibilidade dos ativos investidos atualmente pelo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com os prazos, montantes e taxas das obrigações atuariais presentes e futuras.</w:t>
      </w:r>
    </w:p>
    <w:p w14:paraId="7D21EB72" w14:textId="32875CC7" w:rsidR="00DC5BF7" w:rsidRPr="00A92A3E" w:rsidRDefault="00DC5BF7" w:rsidP="00DC5BF7">
      <w:pPr>
        <w:rPr>
          <w:rFonts w:asciiTheme="minorHAnsi" w:hAnsiTheme="minorHAnsi" w:cstheme="minorHAnsi"/>
          <w:bCs/>
          <w:sz w:val="16"/>
          <w:szCs w:val="16"/>
        </w:rPr>
      </w:pPr>
      <w:r w:rsidRPr="00A92A3E">
        <w:rPr>
          <w:rFonts w:asciiTheme="minorHAnsi" w:hAnsiTheme="minorHAnsi" w:cstheme="minorHAnsi"/>
          <w:bCs/>
          <w:sz w:val="16"/>
          <w:szCs w:val="16"/>
        </w:rPr>
        <w:t>Para efeitos de alocação estratégica, segundo a Resolução CMN nº 4.963/2021, art. 3º e 6º, são considerados recursos do</w:t>
      </w:r>
      <w:r w:rsidRPr="00A92A3E">
        <w:rPr>
          <w:rFonts w:asciiTheme="minorHAnsi" w:hAnsiTheme="minorHAnsi" w:cstheme="minorHAnsi"/>
          <w:b/>
          <w:bCs/>
          <w:color w:val="FF0000"/>
          <w:sz w:val="16"/>
          <w:szCs w:val="16"/>
        </w:rPr>
        <w:t xml:space="preserve">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xml:space="preserve">: (i) as disponibilidades oriundas das receitas correntes e de capital; (ii) os demais ingressos financeiros auferidos pelo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(iii) as aplicações financeiras e (iv) os títulos e valores mobiliários.</w:t>
      </w:r>
    </w:p>
    <w:p w14:paraId="62D5B2E4" w14:textId="1E66E7EB" w:rsidR="00635488" w:rsidRPr="00A92A3E" w:rsidRDefault="00DC5BF7" w:rsidP="00DC5BF7">
      <w:pPr>
        <w:rPr>
          <w:rFonts w:asciiTheme="minorHAnsi" w:hAnsiTheme="minorHAnsi" w:cstheme="minorHAnsi"/>
          <w:bCs/>
          <w:sz w:val="16"/>
          <w:szCs w:val="16"/>
        </w:rPr>
      </w:pPr>
      <w:r w:rsidRPr="00A92A3E">
        <w:rPr>
          <w:rFonts w:asciiTheme="minorHAnsi" w:hAnsiTheme="minorHAnsi" w:cstheme="minorHAnsi"/>
          <w:bCs/>
          <w:sz w:val="16"/>
          <w:szCs w:val="16"/>
        </w:rPr>
        <w:t xml:space="preserve">Não serão considerados recursos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 xml:space="preserve">para efeitos de alocação estratégica os recursos provenientes de: (i) ativos vinculados por lei ao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(ii) demais bens, direitos e ativos com finalidade previdenciária; (iii) as disponibilidades financeiras mantidas em conta corrente e (iv) as contas de fundos de investimento imobiliário.</w:t>
      </w:r>
    </w:p>
    <w:p w14:paraId="3DEA4C2B" w14:textId="406EFF35" w:rsidR="00500AE2" w:rsidRPr="00A92A3E" w:rsidRDefault="00730172" w:rsidP="00500AE2">
      <w:pPr>
        <w:pStyle w:val="Ttulo2"/>
        <w:rPr>
          <w:rFonts w:asciiTheme="minorHAnsi" w:hAnsiTheme="minorHAnsi" w:cstheme="minorHAnsi"/>
          <w:sz w:val="16"/>
          <w:szCs w:val="16"/>
        </w:rPr>
      </w:pPr>
      <w:bookmarkStart w:id="36" w:name="_Toc435202742"/>
      <w:bookmarkStart w:id="37" w:name="_Toc490036547"/>
      <w:bookmarkStart w:id="38" w:name="_Toc118105140"/>
      <w:r w:rsidRPr="00A92A3E">
        <w:rPr>
          <w:rFonts w:asciiTheme="minorHAnsi" w:hAnsiTheme="minorHAnsi" w:cstheme="minorHAnsi"/>
          <w:sz w:val="16"/>
          <w:szCs w:val="16"/>
        </w:rPr>
        <w:t>Segmento de Renda Fixa</w:t>
      </w:r>
      <w:bookmarkEnd w:id="36"/>
      <w:bookmarkEnd w:id="37"/>
      <w:bookmarkEnd w:id="38"/>
    </w:p>
    <w:p w14:paraId="6078EF07" w14:textId="488AF8CC" w:rsidR="00500AE2" w:rsidRPr="00A92A3E" w:rsidRDefault="00500AE2" w:rsidP="00E24C80">
      <w:pPr>
        <w:rPr>
          <w:rFonts w:asciiTheme="minorHAnsi" w:hAnsiTheme="minorHAnsi" w:cstheme="minorHAnsi"/>
          <w:sz w:val="16"/>
          <w:szCs w:val="16"/>
        </w:rPr>
      </w:pPr>
      <w:r w:rsidRPr="00A92A3E">
        <w:rPr>
          <w:rFonts w:asciiTheme="minorHAnsi" w:hAnsiTheme="minorHAnsi" w:cstheme="minorHAnsi"/>
          <w:sz w:val="16"/>
          <w:szCs w:val="16"/>
        </w:rPr>
        <w:t xml:space="preserve">Obedecendo os limites permitidos </w:t>
      </w:r>
      <w:r w:rsidR="00832071" w:rsidRPr="00A92A3E">
        <w:rPr>
          <w:rFonts w:asciiTheme="minorHAnsi" w:hAnsiTheme="minorHAnsi" w:cstheme="minorHAnsi"/>
          <w:sz w:val="16"/>
          <w:szCs w:val="16"/>
        </w:rPr>
        <w:t>para o</w:t>
      </w:r>
      <w:r w:rsidRPr="00A92A3E">
        <w:rPr>
          <w:rFonts w:asciiTheme="minorHAnsi" w:hAnsiTheme="minorHAnsi" w:cstheme="minorHAnsi"/>
          <w:sz w:val="16"/>
          <w:szCs w:val="16"/>
        </w:rPr>
        <w:t xml:space="preserve"> segmento de renda fixa pela Resolução CMN n° 4.963/2021,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propõe-se adotar o </w:t>
      </w:r>
      <w:r w:rsidRPr="00A92A3E">
        <w:rPr>
          <w:rFonts w:asciiTheme="minorHAnsi" w:hAnsiTheme="minorHAnsi" w:cstheme="minorHAnsi"/>
          <w:b/>
          <w:sz w:val="16"/>
          <w:szCs w:val="16"/>
        </w:rPr>
        <w:t xml:space="preserve">limite de máximo de </w:t>
      </w:r>
      <w:r w:rsidR="0072415A">
        <w:rPr>
          <w:rFonts w:asciiTheme="minorHAnsi" w:hAnsiTheme="minorHAnsi" w:cstheme="minorHAnsi"/>
          <w:b/>
          <w:sz w:val="16"/>
          <w:szCs w:val="16"/>
        </w:rPr>
        <w:t>100%</w:t>
      </w:r>
      <w:r w:rsidR="00832071" w:rsidRPr="00A92A3E">
        <w:rPr>
          <w:rFonts w:asciiTheme="minorHAnsi" w:hAnsiTheme="minorHAnsi" w:cstheme="minorHAnsi"/>
          <w:b/>
          <w:sz w:val="16"/>
          <w:szCs w:val="16"/>
        </w:rPr>
        <w:t xml:space="preserve"> </w:t>
      </w:r>
      <w:r w:rsidRPr="00A92A3E">
        <w:rPr>
          <w:rFonts w:asciiTheme="minorHAnsi" w:hAnsiTheme="minorHAnsi" w:cstheme="minorHAnsi"/>
          <w:b/>
          <w:sz w:val="16"/>
          <w:szCs w:val="16"/>
        </w:rPr>
        <w:t xml:space="preserve">dos </w:t>
      </w:r>
      <w:r w:rsidR="00832071" w:rsidRPr="00A92A3E">
        <w:rPr>
          <w:rFonts w:asciiTheme="minorHAnsi" w:hAnsiTheme="minorHAnsi" w:cstheme="minorHAnsi"/>
          <w:b/>
          <w:sz w:val="16"/>
          <w:szCs w:val="16"/>
        </w:rPr>
        <w:t xml:space="preserve">recursos </w:t>
      </w:r>
      <w:r w:rsidR="0089470C" w:rsidRPr="00A92A3E">
        <w:rPr>
          <w:rFonts w:asciiTheme="minorHAnsi" w:hAnsiTheme="minorHAnsi" w:cstheme="minorHAnsi"/>
          <w:b/>
          <w:sz w:val="16"/>
          <w:szCs w:val="16"/>
        </w:rPr>
        <w:t xml:space="preserve">disponíveis para </w:t>
      </w:r>
      <w:r w:rsidRPr="00A92A3E">
        <w:rPr>
          <w:rFonts w:asciiTheme="minorHAnsi" w:hAnsiTheme="minorHAnsi" w:cstheme="minorHAnsi"/>
          <w:b/>
          <w:sz w:val="16"/>
          <w:szCs w:val="16"/>
        </w:rPr>
        <w:t>investimentos.</w:t>
      </w:r>
    </w:p>
    <w:p w14:paraId="1A76BE7B" w14:textId="77777777"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A negociação de títulos públicos no mercado secundário (compra/venda de títulos públicos) obedecerá ao disposto no Art. 7º, inciso I, alínea “a” da Resolução CMN n° 4.963/2021, onde deverão estar registrados no Sistema Especial de Liquidação e de Custódia (SELIC).</w:t>
      </w:r>
    </w:p>
    <w:p w14:paraId="4CC88D11" w14:textId="0269CED1" w:rsidR="0085686B" w:rsidRPr="00A92A3E" w:rsidRDefault="008D6067" w:rsidP="00BD2D6E">
      <w:pPr>
        <w:rPr>
          <w:rFonts w:asciiTheme="minorHAnsi" w:hAnsiTheme="minorHAnsi" w:cstheme="minorHAnsi"/>
          <w:bCs/>
          <w:sz w:val="16"/>
          <w:szCs w:val="16"/>
        </w:rPr>
      </w:pPr>
      <w:r w:rsidRPr="00A92A3E">
        <w:rPr>
          <w:rFonts w:asciiTheme="minorHAnsi" w:hAnsiTheme="minorHAnsi" w:cstheme="minorHAnsi"/>
          <w:bCs/>
          <w:sz w:val="16"/>
          <w:szCs w:val="16"/>
        </w:rPr>
        <w:t>Na opção</w:t>
      </w:r>
      <w:r w:rsidR="00B8337B" w:rsidRPr="00A92A3E">
        <w:rPr>
          <w:rFonts w:asciiTheme="minorHAnsi" w:hAnsiTheme="minorHAnsi" w:cstheme="minorHAnsi"/>
          <w:bCs/>
          <w:sz w:val="16"/>
          <w:szCs w:val="16"/>
        </w:rPr>
        <w:t xml:space="preserve"> de o</w:t>
      </w:r>
      <w:r w:rsidR="00BD2D6E" w:rsidRPr="00A92A3E">
        <w:rPr>
          <w:rFonts w:asciiTheme="minorHAnsi" w:hAnsiTheme="minorHAnsi" w:cstheme="minorHAnsi"/>
          <w:bCs/>
          <w:sz w:val="16"/>
          <w:szCs w:val="16"/>
        </w:rPr>
        <w:t xml:space="preserve">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00B8337B" w:rsidRPr="00A92A3E">
        <w:rPr>
          <w:rFonts w:asciiTheme="minorHAnsi" w:hAnsiTheme="minorHAnsi" w:cstheme="minorHAnsi"/>
          <w:bCs/>
          <w:sz w:val="16"/>
          <w:szCs w:val="16"/>
        </w:rPr>
        <w:t>promov</w:t>
      </w:r>
      <w:r w:rsidR="00221548" w:rsidRPr="00A92A3E">
        <w:rPr>
          <w:rFonts w:asciiTheme="minorHAnsi" w:hAnsiTheme="minorHAnsi" w:cstheme="minorHAnsi"/>
          <w:bCs/>
          <w:sz w:val="16"/>
          <w:szCs w:val="16"/>
        </w:rPr>
        <w:t>er</w:t>
      </w:r>
      <w:r w:rsidR="00B8337B" w:rsidRPr="00A92A3E">
        <w:rPr>
          <w:rFonts w:asciiTheme="minorHAnsi" w:hAnsiTheme="minorHAnsi" w:cstheme="minorHAnsi"/>
          <w:bCs/>
          <w:sz w:val="16"/>
          <w:szCs w:val="16"/>
        </w:rPr>
        <w:t xml:space="preserve"> a</w:t>
      </w:r>
      <w:r w:rsidR="0085686B" w:rsidRPr="00A92A3E">
        <w:rPr>
          <w:rFonts w:asciiTheme="minorHAnsi" w:hAnsiTheme="minorHAnsi" w:cstheme="minorHAnsi"/>
          <w:bCs/>
          <w:sz w:val="16"/>
          <w:szCs w:val="16"/>
        </w:rPr>
        <w:t xml:space="preserve"> aquisição de Títulos Públicos </w:t>
      </w:r>
      <w:r w:rsidR="00B53414" w:rsidRPr="00A92A3E">
        <w:rPr>
          <w:rFonts w:asciiTheme="minorHAnsi" w:hAnsiTheme="minorHAnsi" w:cstheme="minorHAnsi"/>
          <w:bCs/>
          <w:sz w:val="16"/>
          <w:szCs w:val="16"/>
        </w:rPr>
        <w:t xml:space="preserve">de </w:t>
      </w:r>
      <w:r w:rsidR="00B53414" w:rsidRPr="00A92A3E">
        <w:rPr>
          <w:rFonts w:asciiTheme="minorHAnsi" w:hAnsiTheme="minorHAnsi" w:cstheme="minorHAnsi"/>
          <w:b/>
          <w:sz w:val="16"/>
          <w:szCs w:val="16"/>
          <w:u w:val="single"/>
        </w:rPr>
        <w:t>forma diret</w:t>
      </w:r>
      <w:r w:rsidR="00B8337B" w:rsidRPr="00A92A3E">
        <w:rPr>
          <w:rFonts w:asciiTheme="minorHAnsi" w:hAnsiTheme="minorHAnsi" w:cstheme="minorHAnsi"/>
          <w:b/>
          <w:sz w:val="16"/>
          <w:szCs w:val="16"/>
          <w:u w:val="single"/>
        </w:rPr>
        <w:t>a</w:t>
      </w:r>
      <w:r w:rsidR="00B8337B" w:rsidRPr="00A92A3E">
        <w:rPr>
          <w:rFonts w:asciiTheme="minorHAnsi" w:hAnsiTheme="minorHAnsi" w:cstheme="minorHAnsi"/>
          <w:bCs/>
          <w:sz w:val="16"/>
          <w:szCs w:val="16"/>
        </w:rPr>
        <w:t>,</w:t>
      </w:r>
      <w:r w:rsidR="00B53414" w:rsidRPr="00A92A3E">
        <w:rPr>
          <w:rFonts w:asciiTheme="minorHAnsi" w:hAnsiTheme="minorHAnsi" w:cstheme="minorHAnsi"/>
          <w:bCs/>
          <w:sz w:val="16"/>
          <w:szCs w:val="16"/>
        </w:rPr>
        <w:t xml:space="preserve"> deverá</w:t>
      </w:r>
      <w:r w:rsidR="00423EC3" w:rsidRPr="00A92A3E">
        <w:rPr>
          <w:rFonts w:asciiTheme="minorHAnsi" w:hAnsiTheme="minorHAnsi" w:cstheme="minorHAnsi"/>
          <w:bCs/>
          <w:sz w:val="16"/>
          <w:szCs w:val="16"/>
        </w:rPr>
        <w:t xml:space="preserve"> comprovar</w:t>
      </w:r>
      <w:r w:rsidR="00C40F4E" w:rsidRPr="00A92A3E">
        <w:rPr>
          <w:rFonts w:asciiTheme="minorHAnsi" w:hAnsiTheme="minorHAnsi" w:cstheme="minorHAnsi"/>
          <w:bCs/>
          <w:sz w:val="16"/>
          <w:szCs w:val="16"/>
        </w:rPr>
        <w:t>:</w:t>
      </w:r>
    </w:p>
    <w:p w14:paraId="6D3A7CCA" w14:textId="4DFE5E26" w:rsidR="00C40F4E" w:rsidRPr="00A92A3E" w:rsidRDefault="00C40F4E" w:rsidP="00F5523C">
      <w:pPr>
        <w:pStyle w:val="PargrafodaLista"/>
        <w:numPr>
          <w:ilvl w:val="0"/>
          <w:numId w:val="18"/>
        </w:numPr>
        <w:rPr>
          <w:rFonts w:asciiTheme="minorHAnsi" w:hAnsiTheme="minorHAnsi" w:cstheme="minorHAnsi"/>
          <w:bCs/>
          <w:sz w:val="16"/>
          <w:szCs w:val="16"/>
        </w:rPr>
      </w:pPr>
      <w:r w:rsidRPr="00A92A3E">
        <w:rPr>
          <w:rFonts w:asciiTheme="minorHAnsi" w:hAnsiTheme="minorHAnsi" w:cstheme="minorHAnsi"/>
          <w:bCs/>
          <w:sz w:val="16"/>
          <w:szCs w:val="16"/>
        </w:rPr>
        <w:t>que procedeu com a consulta às informações divulgadas por entidades representativas participantes do mercado financeiro e de capitais</w:t>
      </w:r>
      <w:r w:rsidR="00221548"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reconhecidamente idôneas pela sua transparência e elevado padrão técnico na difusão de preços e taxas dos títulos</w:t>
      </w:r>
      <w:r w:rsidR="00221548" w:rsidRPr="00A92A3E">
        <w:rPr>
          <w:rFonts w:asciiTheme="minorHAnsi" w:hAnsiTheme="minorHAnsi" w:cstheme="minorHAnsi"/>
          <w:bCs/>
          <w:sz w:val="16"/>
          <w:szCs w:val="16"/>
        </w:rPr>
        <w:t>. A</w:t>
      </w:r>
      <w:r w:rsidRPr="00A92A3E">
        <w:rPr>
          <w:rFonts w:asciiTheme="minorHAnsi" w:hAnsiTheme="minorHAnsi" w:cstheme="minorHAnsi"/>
          <w:bCs/>
          <w:sz w:val="16"/>
          <w:szCs w:val="16"/>
        </w:rPr>
        <w:t xml:space="preserve"> sua utilização como referência nas negociações, bem como, ao volume, preços e taxas das operações registradas no SELIC antes do efetivo fechamento da operação;</w:t>
      </w:r>
    </w:p>
    <w:p w14:paraId="09C2C7C9" w14:textId="77777777" w:rsidR="00832E42" w:rsidRPr="00A92A3E" w:rsidRDefault="00832E42" w:rsidP="00832E42">
      <w:pPr>
        <w:pStyle w:val="PargrafodaLista"/>
        <w:rPr>
          <w:rFonts w:asciiTheme="minorHAnsi" w:hAnsiTheme="minorHAnsi" w:cstheme="minorHAnsi"/>
          <w:bCs/>
          <w:sz w:val="16"/>
          <w:szCs w:val="16"/>
        </w:rPr>
      </w:pPr>
    </w:p>
    <w:p w14:paraId="2676631B" w14:textId="43859063" w:rsidR="00832E42" w:rsidRPr="00A92A3E" w:rsidRDefault="00832E42" w:rsidP="00F5523C">
      <w:pPr>
        <w:pStyle w:val="PargrafodaLista"/>
        <w:numPr>
          <w:ilvl w:val="0"/>
          <w:numId w:val="18"/>
        </w:numPr>
        <w:rPr>
          <w:rFonts w:asciiTheme="minorHAnsi" w:hAnsiTheme="minorHAnsi" w:cstheme="minorHAnsi"/>
          <w:bCs/>
          <w:sz w:val="16"/>
          <w:szCs w:val="16"/>
        </w:rPr>
      </w:pPr>
      <w:r w:rsidRPr="00A92A3E">
        <w:rPr>
          <w:rFonts w:asciiTheme="minorHAnsi" w:hAnsiTheme="minorHAnsi" w:cstheme="minorHAnsi"/>
          <w:bCs/>
          <w:sz w:val="16"/>
          <w:szCs w:val="16"/>
        </w:rPr>
        <w:t>deverão acontecer através de plataformas eletrônicas administradas por sistemas autorizados a funcionar pelo Banco Central do Brasil ou pela Comissão de Valores Mobiliários, nas suas respectivas áreas de competência;</w:t>
      </w:r>
    </w:p>
    <w:p w14:paraId="24D93493" w14:textId="77777777" w:rsidR="000B148E" w:rsidRPr="00A92A3E" w:rsidRDefault="000B148E" w:rsidP="000B148E">
      <w:pPr>
        <w:pStyle w:val="PargrafodaLista"/>
        <w:rPr>
          <w:rFonts w:asciiTheme="minorHAnsi" w:hAnsiTheme="minorHAnsi" w:cstheme="minorHAnsi"/>
          <w:bCs/>
          <w:sz w:val="16"/>
          <w:szCs w:val="16"/>
        </w:rPr>
      </w:pPr>
    </w:p>
    <w:p w14:paraId="7A8E4847" w14:textId="30AB607B" w:rsidR="002A2863" w:rsidRPr="00A92A3E" w:rsidRDefault="002A2863" w:rsidP="00F5523C">
      <w:pPr>
        <w:pStyle w:val="PargrafodaLista"/>
        <w:numPr>
          <w:ilvl w:val="0"/>
          <w:numId w:val="18"/>
        </w:numPr>
        <w:rPr>
          <w:rFonts w:asciiTheme="minorHAnsi" w:hAnsiTheme="minorHAnsi" w:cstheme="minorHAnsi"/>
          <w:bCs/>
          <w:sz w:val="16"/>
          <w:szCs w:val="16"/>
        </w:rPr>
      </w:pPr>
      <w:r w:rsidRPr="00A92A3E">
        <w:rPr>
          <w:rFonts w:asciiTheme="minorHAnsi" w:hAnsiTheme="minorHAnsi" w:cstheme="minorHAnsi"/>
          <w:bCs/>
          <w:sz w:val="16"/>
          <w:szCs w:val="16"/>
        </w:rPr>
        <w:t>que possui devidamente guardados os registros dos valores e do volume dos títulos efetivamente negociados; e</w:t>
      </w:r>
    </w:p>
    <w:p w14:paraId="1F8E2B86" w14:textId="77777777" w:rsidR="002A2863" w:rsidRPr="00A92A3E" w:rsidRDefault="002A2863" w:rsidP="002A2863">
      <w:pPr>
        <w:pStyle w:val="PargrafodaLista"/>
        <w:rPr>
          <w:rFonts w:asciiTheme="minorHAnsi" w:hAnsiTheme="minorHAnsi" w:cstheme="minorHAnsi"/>
          <w:bCs/>
          <w:sz w:val="16"/>
          <w:szCs w:val="16"/>
        </w:rPr>
      </w:pPr>
    </w:p>
    <w:p w14:paraId="75D8F725" w14:textId="346BADD7" w:rsidR="002A2863" w:rsidRPr="00A92A3E" w:rsidRDefault="00940F83" w:rsidP="00F5523C">
      <w:pPr>
        <w:pStyle w:val="PargrafodaLista"/>
        <w:numPr>
          <w:ilvl w:val="0"/>
          <w:numId w:val="18"/>
        </w:numPr>
        <w:rPr>
          <w:rFonts w:asciiTheme="minorHAnsi" w:hAnsiTheme="minorHAnsi" w:cstheme="minorHAnsi"/>
          <w:bCs/>
          <w:sz w:val="16"/>
          <w:szCs w:val="16"/>
        </w:rPr>
      </w:pPr>
      <w:r w:rsidRPr="00A92A3E">
        <w:rPr>
          <w:rFonts w:asciiTheme="minorHAnsi" w:hAnsiTheme="minorHAnsi" w:cstheme="minorHAnsi"/>
          <w:bCs/>
          <w:sz w:val="16"/>
          <w:szCs w:val="16"/>
        </w:rPr>
        <w:t xml:space="preserve">que os títulos adquiridos </w:t>
      </w:r>
      <w:r w:rsidR="00832E42" w:rsidRPr="00A92A3E">
        <w:rPr>
          <w:rFonts w:asciiTheme="minorHAnsi" w:hAnsiTheme="minorHAnsi" w:cstheme="minorHAnsi"/>
          <w:bCs/>
          <w:sz w:val="16"/>
          <w:szCs w:val="16"/>
        </w:rPr>
        <w:t>estejam</w:t>
      </w:r>
      <w:r w:rsidRPr="00A92A3E">
        <w:rPr>
          <w:rFonts w:asciiTheme="minorHAnsi" w:hAnsiTheme="minorHAnsi" w:cstheme="minorHAnsi"/>
          <w:bCs/>
          <w:sz w:val="16"/>
          <w:szCs w:val="16"/>
        </w:rPr>
        <w:t xml:space="preserve"> sob a titularidade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com base nas informações de sistema de registro, de custódia ou de liquidação financeira, sejam depositados perante depositário central (SELIC).</w:t>
      </w:r>
    </w:p>
    <w:p w14:paraId="2455CD27" w14:textId="614C6645" w:rsidR="00635488" w:rsidRPr="00A92A3E" w:rsidRDefault="0038315D" w:rsidP="00500AE2">
      <w:pPr>
        <w:rPr>
          <w:rFonts w:asciiTheme="minorHAnsi" w:hAnsiTheme="minorHAnsi" w:cstheme="minorHAnsi"/>
          <w:bCs/>
          <w:sz w:val="16"/>
          <w:szCs w:val="16"/>
        </w:rPr>
      </w:pPr>
      <w:r w:rsidRPr="00A92A3E">
        <w:rPr>
          <w:rFonts w:asciiTheme="minorHAnsi" w:hAnsiTheme="minorHAnsi" w:cstheme="minorHAnsi"/>
          <w:bCs/>
          <w:sz w:val="16"/>
          <w:szCs w:val="16"/>
        </w:rPr>
        <w:t>Para comprovação de operações realizadas em ofertas públicas do Tesouro Nacional,</w:t>
      </w:r>
      <w:r w:rsidR="000A6DE3" w:rsidRPr="00A92A3E">
        <w:rPr>
          <w:rFonts w:asciiTheme="minorHAnsi" w:hAnsiTheme="minorHAnsi" w:cstheme="minorHAnsi"/>
          <w:bCs/>
          <w:sz w:val="16"/>
          <w:szCs w:val="16"/>
        </w:rPr>
        <w:t xml:space="preserve">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 xml:space="preserve">deverá arquivar os documentos de comunicação com a </w:t>
      </w:r>
      <w:r w:rsidR="00832E42" w:rsidRPr="00A92A3E">
        <w:rPr>
          <w:rFonts w:asciiTheme="minorHAnsi" w:hAnsiTheme="minorHAnsi" w:cstheme="minorHAnsi"/>
          <w:bCs/>
          <w:sz w:val="16"/>
          <w:szCs w:val="16"/>
        </w:rPr>
        <w:t>I</w:t>
      </w:r>
      <w:r w:rsidRPr="00A92A3E">
        <w:rPr>
          <w:rFonts w:asciiTheme="minorHAnsi" w:hAnsiTheme="minorHAnsi" w:cstheme="minorHAnsi"/>
          <w:bCs/>
          <w:sz w:val="16"/>
          <w:szCs w:val="16"/>
        </w:rPr>
        <w:t>nstituição que participou</w:t>
      </w:r>
      <w:r w:rsidR="000A6DE3"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do leilão.</w:t>
      </w:r>
    </w:p>
    <w:p w14:paraId="4214C821" w14:textId="35931367" w:rsidR="00500AE2" w:rsidRPr="00A92A3E" w:rsidRDefault="0015608C" w:rsidP="00E24C80">
      <w:pPr>
        <w:pStyle w:val="Ttulo2"/>
        <w:rPr>
          <w:rFonts w:asciiTheme="minorHAnsi" w:hAnsiTheme="minorHAnsi" w:cstheme="minorHAnsi"/>
          <w:sz w:val="16"/>
          <w:szCs w:val="16"/>
        </w:rPr>
      </w:pPr>
      <w:bookmarkStart w:id="39" w:name="_Toc435202743"/>
      <w:bookmarkStart w:id="40" w:name="_Toc490036548"/>
      <w:bookmarkStart w:id="41" w:name="_Toc118105141"/>
      <w:r w:rsidRPr="00A92A3E">
        <w:rPr>
          <w:rFonts w:asciiTheme="minorHAnsi" w:hAnsiTheme="minorHAnsi" w:cstheme="minorHAnsi"/>
          <w:sz w:val="16"/>
          <w:szCs w:val="16"/>
        </w:rPr>
        <w:t>Segmento de Renda Variável</w:t>
      </w:r>
      <w:bookmarkEnd w:id="39"/>
      <w:bookmarkEnd w:id="40"/>
      <w:r w:rsidRPr="00A92A3E">
        <w:rPr>
          <w:rFonts w:asciiTheme="minorHAnsi" w:hAnsiTheme="minorHAnsi" w:cstheme="minorHAnsi"/>
          <w:sz w:val="16"/>
          <w:szCs w:val="16"/>
        </w:rPr>
        <w:t>, Investimentos Estruturados e Fundos de Investimentos Imobiliários</w:t>
      </w:r>
      <w:bookmarkEnd w:id="41"/>
    </w:p>
    <w:p w14:paraId="324E79D3" w14:textId="025F6CED"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Em relação ao segmento de renda variável, investimentos estruturados e fundos de investimentos imobiliários, a Resolução CMN nº 4.963/2021 estabelece que o limite legal dos recursos alocados nos segmentos, não poderão exceder cumulativamente ao limite de </w:t>
      </w:r>
      <w:r w:rsidRPr="00BD75C7">
        <w:rPr>
          <w:rFonts w:asciiTheme="minorHAnsi" w:hAnsiTheme="minorHAnsi" w:cstheme="minorHAnsi"/>
          <w:b/>
          <w:sz w:val="16"/>
          <w:szCs w:val="16"/>
        </w:rPr>
        <w:t>30%</w:t>
      </w:r>
      <w:r w:rsidRPr="00A92A3E">
        <w:rPr>
          <w:rFonts w:asciiTheme="minorHAnsi" w:hAnsiTheme="minorHAnsi" w:cstheme="minorHAnsi"/>
          <w:bCs/>
          <w:sz w:val="16"/>
          <w:szCs w:val="16"/>
        </w:rPr>
        <w:t xml:space="preserve"> da totalidade dos recursos em moeda corrente.</w:t>
      </w:r>
    </w:p>
    <w:p w14:paraId="07A45358" w14:textId="4E6FC921" w:rsidR="00500AE2" w:rsidRPr="00A92A3E" w:rsidRDefault="00500AE2" w:rsidP="00500AE2">
      <w:pPr>
        <w:rPr>
          <w:rFonts w:asciiTheme="minorHAnsi" w:hAnsiTheme="minorHAnsi" w:cstheme="minorHAnsi"/>
          <w:b/>
          <w:bCs/>
          <w:sz w:val="16"/>
          <w:szCs w:val="16"/>
        </w:rPr>
      </w:pPr>
      <w:r w:rsidRPr="00A92A3E">
        <w:rPr>
          <w:rFonts w:asciiTheme="minorHAnsi" w:hAnsiTheme="minorHAnsi" w:cstheme="minorHAnsi"/>
          <w:bCs/>
          <w:sz w:val="16"/>
          <w:szCs w:val="16"/>
        </w:rPr>
        <w:t xml:space="preserve">Neste sentido,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 xml:space="preserve">propõe adotar como </w:t>
      </w:r>
      <w:r w:rsidRPr="00A92A3E">
        <w:rPr>
          <w:rFonts w:asciiTheme="minorHAnsi" w:hAnsiTheme="minorHAnsi" w:cstheme="minorHAnsi"/>
          <w:b/>
          <w:bCs/>
          <w:sz w:val="16"/>
          <w:szCs w:val="16"/>
        </w:rPr>
        <w:t xml:space="preserve">limite máximo o percentual de </w:t>
      </w:r>
      <w:r w:rsidR="005C53E2" w:rsidRPr="00A92A3E">
        <w:rPr>
          <w:rFonts w:asciiTheme="minorHAnsi" w:hAnsiTheme="minorHAnsi" w:cstheme="minorHAnsi"/>
          <w:b/>
          <w:bCs/>
          <w:sz w:val="16"/>
          <w:szCs w:val="16"/>
        </w:rPr>
        <w:t>30%</w:t>
      </w:r>
      <w:r w:rsidRPr="00A92A3E">
        <w:rPr>
          <w:rFonts w:asciiTheme="minorHAnsi" w:hAnsiTheme="minorHAnsi" w:cstheme="minorHAnsi"/>
          <w:b/>
          <w:bCs/>
          <w:sz w:val="16"/>
          <w:szCs w:val="16"/>
        </w:rPr>
        <w:t xml:space="preserve"> da totalidade dos recursos.</w:t>
      </w:r>
    </w:p>
    <w:p w14:paraId="2A53140B" w14:textId="30EE8A61" w:rsidR="00635488"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São considerados como investimentos estruturados segundo Resolução CMN n° 4.963/2021, os fundos de investimento classificados como multimercado, os fundos de investimento em participações - FIPs e os fundos de investimento classificados como “Ações – Mercado de Acesso”.</w:t>
      </w:r>
    </w:p>
    <w:p w14:paraId="0BC82EF7" w14:textId="3DD28FC9" w:rsidR="00500AE2" w:rsidRPr="00A92A3E" w:rsidRDefault="00730172" w:rsidP="00C64D93">
      <w:pPr>
        <w:pStyle w:val="Ttulo2"/>
        <w:rPr>
          <w:rFonts w:asciiTheme="minorHAnsi" w:hAnsiTheme="minorHAnsi" w:cstheme="minorHAnsi"/>
          <w:sz w:val="16"/>
          <w:szCs w:val="16"/>
        </w:rPr>
      </w:pPr>
      <w:bookmarkStart w:id="42" w:name="_Toc118105142"/>
      <w:r w:rsidRPr="00A92A3E">
        <w:rPr>
          <w:rFonts w:asciiTheme="minorHAnsi" w:hAnsiTheme="minorHAnsi" w:cstheme="minorHAnsi"/>
          <w:sz w:val="16"/>
          <w:szCs w:val="16"/>
        </w:rPr>
        <w:lastRenderedPageBreak/>
        <w:t>Segmento de Investimentos no Exterior</w:t>
      </w:r>
      <w:bookmarkEnd w:id="42"/>
    </w:p>
    <w:p w14:paraId="19BE784C" w14:textId="77777777"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No segmento classificado como “Investimentos no Exterior”, a Resolução CMN nº 4.963/2021 estabelece que o limite legal dos recursos alocados não poderá exceder cumulativamente ao limite de 10% (dez por cento) da totalidade dos recursos em moeda corrente.</w:t>
      </w:r>
    </w:p>
    <w:p w14:paraId="3B19C8C9" w14:textId="279ED5D2" w:rsidR="00500AE2" w:rsidRPr="00A92A3E" w:rsidRDefault="00500AE2" w:rsidP="00500AE2">
      <w:pPr>
        <w:rPr>
          <w:rFonts w:asciiTheme="minorHAnsi" w:hAnsiTheme="minorHAnsi" w:cstheme="minorHAnsi"/>
          <w:b/>
          <w:bCs/>
          <w:sz w:val="16"/>
          <w:szCs w:val="16"/>
        </w:rPr>
      </w:pPr>
      <w:r w:rsidRPr="00A92A3E">
        <w:rPr>
          <w:rFonts w:asciiTheme="minorHAnsi" w:hAnsiTheme="minorHAnsi" w:cstheme="minorHAnsi"/>
          <w:bCs/>
          <w:sz w:val="16"/>
          <w:szCs w:val="16"/>
        </w:rPr>
        <w:t xml:space="preserve">Neste sentido,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 xml:space="preserve">propõe adotar como </w:t>
      </w:r>
      <w:r w:rsidRPr="00A92A3E">
        <w:rPr>
          <w:rFonts w:asciiTheme="minorHAnsi" w:hAnsiTheme="minorHAnsi" w:cstheme="minorHAnsi"/>
          <w:b/>
          <w:bCs/>
          <w:sz w:val="16"/>
          <w:szCs w:val="16"/>
        </w:rPr>
        <w:t>limite máximo o percentual de 10% da totalidade dos recursos.</w:t>
      </w:r>
    </w:p>
    <w:p w14:paraId="11ECB01C" w14:textId="55C14804" w:rsidR="00635488"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Deverão ser considerados </w:t>
      </w:r>
      <w:r w:rsidR="00AB0BA7" w:rsidRPr="00A92A3E">
        <w:rPr>
          <w:rFonts w:asciiTheme="minorHAnsi" w:hAnsiTheme="minorHAnsi" w:cstheme="minorHAnsi"/>
          <w:sz w:val="16"/>
          <w:szCs w:val="16"/>
        </w:rPr>
        <w:t xml:space="preserve">aptos a receber recursos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apenas os fundos de investimentos</w:t>
      </w:r>
      <w:r w:rsidR="00AB0BA7" w:rsidRPr="00A92A3E">
        <w:rPr>
          <w:rFonts w:asciiTheme="minorHAnsi" w:hAnsiTheme="minorHAnsi" w:cstheme="minorHAnsi"/>
          <w:sz w:val="16"/>
          <w:szCs w:val="16"/>
        </w:rPr>
        <w:t xml:space="preserve"> </w:t>
      </w:r>
      <w:r w:rsidRPr="00A92A3E">
        <w:rPr>
          <w:rFonts w:asciiTheme="minorHAnsi" w:hAnsiTheme="minorHAnsi" w:cstheme="minorHAnsi"/>
          <w:sz w:val="16"/>
          <w:szCs w:val="16"/>
        </w:rPr>
        <w:t>constituídos no exterior que possuam histórico de 12 (doze) meses, que seus gestores estejam em atividade há mais de 5 (cinco) anos e administrem o montante de recursos de terceiros equivalente a US$ 5 bilhões de dólares na data do aporte.</w:t>
      </w:r>
    </w:p>
    <w:p w14:paraId="030423A6" w14:textId="43A2F3C3" w:rsidR="00500AE2" w:rsidRPr="00A92A3E" w:rsidRDefault="00CB148C" w:rsidP="00C64D93">
      <w:pPr>
        <w:pStyle w:val="Ttulo2"/>
        <w:rPr>
          <w:rFonts w:asciiTheme="minorHAnsi" w:hAnsiTheme="minorHAnsi" w:cstheme="minorHAnsi"/>
          <w:sz w:val="16"/>
          <w:szCs w:val="16"/>
        </w:rPr>
      </w:pPr>
      <w:bookmarkStart w:id="43" w:name="_Toc118105143"/>
      <w:r w:rsidRPr="00A92A3E">
        <w:rPr>
          <w:rFonts w:asciiTheme="minorHAnsi" w:hAnsiTheme="minorHAnsi" w:cstheme="minorHAnsi"/>
          <w:sz w:val="16"/>
          <w:szCs w:val="16"/>
        </w:rPr>
        <w:t>Empréstimo Consignado</w:t>
      </w:r>
      <w:bookmarkEnd w:id="43"/>
    </w:p>
    <w:p w14:paraId="48BD62AB" w14:textId="7BBB2F57" w:rsidR="007E53EC" w:rsidRPr="00A92A3E" w:rsidRDefault="00500AE2" w:rsidP="00500AE2">
      <w:pPr>
        <w:rPr>
          <w:rFonts w:asciiTheme="minorHAnsi" w:hAnsiTheme="minorHAnsi" w:cstheme="minorHAnsi"/>
          <w:bCs/>
          <w:sz w:val="16"/>
          <w:szCs w:val="16"/>
        </w:rPr>
      </w:pPr>
      <w:r w:rsidRPr="00A92A3E">
        <w:rPr>
          <w:rFonts w:asciiTheme="minorHAnsi" w:hAnsiTheme="minorHAnsi" w:cstheme="minorHAnsi"/>
          <w:sz w:val="16"/>
          <w:szCs w:val="16"/>
        </w:rPr>
        <w:t xml:space="preserve">Para o segmento de </w:t>
      </w:r>
      <w:r w:rsidR="00832E42" w:rsidRPr="00A92A3E">
        <w:rPr>
          <w:rFonts w:asciiTheme="minorHAnsi" w:hAnsiTheme="minorHAnsi" w:cstheme="minorHAnsi"/>
          <w:sz w:val="16"/>
          <w:szCs w:val="16"/>
        </w:rPr>
        <w:t>E</w:t>
      </w:r>
      <w:r w:rsidRPr="00A92A3E">
        <w:rPr>
          <w:rFonts w:asciiTheme="minorHAnsi" w:hAnsiTheme="minorHAnsi" w:cstheme="minorHAnsi"/>
          <w:sz w:val="16"/>
          <w:szCs w:val="16"/>
        </w:rPr>
        <w:t>mpréstimo</w:t>
      </w:r>
      <w:r w:rsidR="00832E42" w:rsidRPr="00A92A3E">
        <w:rPr>
          <w:rFonts w:asciiTheme="minorHAnsi" w:hAnsiTheme="minorHAnsi" w:cstheme="minorHAnsi"/>
          <w:sz w:val="16"/>
          <w:szCs w:val="16"/>
        </w:rPr>
        <w:t xml:space="preserve"> Consignado</w:t>
      </w:r>
      <w:r w:rsidRPr="00A92A3E">
        <w:rPr>
          <w:rFonts w:asciiTheme="minorHAnsi" w:hAnsiTheme="minorHAnsi" w:cstheme="minorHAnsi"/>
          <w:sz w:val="16"/>
          <w:szCs w:val="16"/>
        </w:rPr>
        <w:t xml:space="preserve"> </w:t>
      </w:r>
      <w:r w:rsidR="00832E42" w:rsidRPr="00A92A3E">
        <w:rPr>
          <w:rFonts w:asciiTheme="minorHAnsi" w:hAnsiTheme="minorHAnsi" w:cstheme="minorHAnsi"/>
          <w:sz w:val="16"/>
          <w:szCs w:val="16"/>
        </w:rPr>
        <w:t>aos</w:t>
      </w:r>
      <w:r w:rsidRPr="00A92A3E">
        <w:rPr>
          <w:rFonts w:asciiTheme="minorHAnsi" w:hAnsiTheme="minorHAnsi" w:cstheme="minorHAnsi"/>
          <w:sz w:val="16"/>
          <w:szCs w:val="16"/>
        </w:rPr>
        <w:t xml:space="preserve"> segurados em atividade, aposentados e pensionistas, </w:t>
      </w:r>
      <w:r w:rsidRPr="00A92A3E">
        <w:rPr>
          <w:rFonts w:asciiTheme="minorHAnsi" w:hAnsiTheme="minorHAnsi" w:cstheme="minorHAnsi"/>
          <w:bCs/>
          <w:sz w:val="16"/>
          <w:szCs w:val="16"/>
        </w:rPr>
        <w:t xml:space="preserve">a Resolução CMN nº 4.963/2021 estabelece que o limite legal </w:t>
      </w:r>
      <w:r w:rsidR="00095719" w:rsidRPr="00A92A3E">
        <w:rPr>
          <w:rFonts w:asciiTheme="minorHAnsi" w:hAnsiTheme="minorHAnsi" w:cstheme="minorHAnsi"/>
          <w:bCs/>
          <w:sz w:val="16"/>
          <w:szCs w:val="16"/>
        </w:rPr>
        <w:t>é de</w:t>
      </w:r>
      <w:r w:rsidR="00945822" w:rsidRPr="00A92A3E">
        <w:rPr>
          <w:rFonts w:asciiTheme="minorHAnsi" w:hAnsiTheme="minorHAnsi" w:cstheme="minorHAnsi"/>
          <w:bCs/>
          <w:sz w:val="16"/>
          <w:szCs w:val="16"/>
        </w:rPr>
        <w:t xml:space="preserve"> </w:t>
      </w:r>
      <w:r w:rsidR="00945822" w:rsidRPr="00A92A3E">
        <w:rPr>
          <w:rFonts w:asciiTheme="minorHAnsi" w:hAnsiTheme="minorHAnsi" w:cstheme="minorHAnsi"/>
          <w:b/>
          <w:sz w:val="16"/>
          <w:szCs w:val="16"/>
        </w:rPr>
        <w:t>5,00% (cinco por cento)</w:t>
      </w:r>
      <w:r w:rsidRPr="00A92A3E">
        <w:rPr>
          <w:rFonts w:asciiTheme="minorHAnsi" w:hAnsiTheme="minorHAnsi" w:cstheme="minorHAnsi"/>
          <w:bCs/>
          <w:sz w:val="16"/>
          <w:szCs w:val="16"/>
        </w:rPr>
        <w:t xml:space="preserve"> da totalidade dos recursos em moeda corrente.</w:t>
      </w:r>
    </w:p>
    <w:p w14:paraId="044AC93F" w14:textId="4CEB2701" w:rsidR="007E53EC" w:rsidRPr="00A92A3E" w:rsidRDefault="007E53EC"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Na ocasião, </w:t>
      </w:r>
      <w:r w:rsidR="00B74D1F" w:rsidRPr="00A92A3E">
        <w:rPr>
          <w:rFonts w:asciiTheme="minorHAnsi" w:hAnsiTheme="minorHAnsi" w:cstheme="minorHAnsi"/>
          <w:bCs/>
          <w:sz w:val="16"/>
          <w:szCs w:val="16"/>
        </w:rPr>
        <w:t>com a</w:t>
      </w:r>
      <w:r w:rsidR="00922261" w:rsidRPr="00A92A3E">
        <w:rPr>
          <w:rFonts w:asciiTheme="minorHAnsi" w:hAnsiTheme="minorHAnsi" w:cstheme="minorHAnsi"/>
          <w:bCs/>
          <w:sz w:val="16"/>
          <w:szCs w:val="16"/>
        </w:rPr>
        <w:t xml:space="preserve"> obtenção da Certificação Institucional Pró-Gestão</w:t>
      </w:r>
      <w:r w:rsidR="00B74D1F" w:rsidRPr="00A92A3E">
        <w:rPr>
          <w:rFonts w:asciiTheme="minorHAnsi" w:hAnsiTheme="minorHAnsi" w:cstheme="minorHAnsi"/>
          <w:bCs/>
          <w:sz w:val="16"/>
          <w:szCs w:val="16"/>
        </w:rPr>
        <w:t xml:space="preserve">,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00B74D1F" w:rsidRPr="00A92A3E">
        <w:rPr>
          <w:rFonts w:asciiTheme="minorHAnsi" w:hAnsiTheme="minorHAnsi" w:cstheme="minorHAnsi"/>
          <w:bCs/>
          <w:sz w:val="16"/>
          <w:szCs w:val="16"/>
        </w:rPr>
        <w:t xml:space="preserve">propõe adotar, como </w:t>
      </w:r>
      <w:r w:rsidR="00B74D1F" w:rsidRPr="00A92A3E">
        <w:rPr>
          <w:rFonts w:asciiTheme="minorHAnsi" w:hAnsiTheme="minorHAnsi" w:cstheme="minorHAnsi"/>
          <w:sz w:val="16"/>
          <w:szCs w:val="16"/>
        </w:rPr>
        <w:t xml:space="preserve">limite máximo o percentual de </w:t>
      </w:r>
      <w:r w:rsidR="00BD75C7" w:rsidRPr="001434F1">
        <w:rPr>
          <w:rFonts w:asciiTheme="minorHAnsi" w:hAnsiTheme="minorHAnsi" w:cstheme="minorHAnsi"/>
          <w:b/>
          <w:bCs/>
          <w:sz w:val="16"/>
          <w:szCs w:val="16"/>
        </w:rPr>
        <w:t>10</w:t>
      </w:r>
      <w:r w:rsidR="00B74D1F" w:rsidRPr="001434F1">
        <w:rPr>
          <w:rFonts w:asciiTheme="minorHAnsi" w:hAnsiTheme="minorHAnsi" w:cstheme="minorHAnsi"/>
          <w:b/>
          <w:bCs/>
          <w:sz w:val="16"/>
          <w:szCs w:val="16"/>
        </w:rPr>
        <w:t>%</w:t>
      </w:r>
      <w:r w:rsidR="00B74D1F" w:rsidRPr="00A92A3E">
        <w:rPr>
          <w:rFonts w:asciiTheme="minorHAnsi" w:hAnsiTheme="minorHAnsi" w:cstheme="minorHAnsi"/>
          <w:b/>
          <w:sz w:val="16"/>
          <w:szCs w:val="16"/>
        </w:rPr>
        <w:t xml:space="preserve"> </w:t>
      </w:r>
      <w:r w:rsidR="00B74D1F" w:rsidRPr="00A92A3E">
        <w:rPr>
          <w:rFonts w:asciiTheme="minorHAnsi" w:hAnsiTheme="minorHAnsi" w:cstheme="minorHAnsi"/>
          <w:sz w:val="16"/>
          <w:szCs w:val="16"/>
        </w:rPr>
        <w:t>da totalidade dos recursos.</w:t>
      </w:r>
    </w:p>
    <w:p w14:paraId="23F131CC" w14:textId="270A92AA" w:rsidR="00635488" w:rsidRPr="00A92A3E" w:rsidRDefault="00500AE2" w:rsidP="00700C52">
      <w:pPr>
        <w:rPr>
          <w:rFonts w:asciiTheme="minorHAnsi" w:hAnsiTheme="minorHAnsi" w:cstheme="minorHAnsi"/>
          <w:bCs/>
          <w:sz w:val="16"/>
          <w:szCs w:val="16"/>
        </w:rPr>
      </w:pPr>
      <w:r w:rsidRPr="00A92A3E">
        <w:rPr>
          <w:rFonts w:asciiTheme="minorHAnsi" w:hAnsiTheme="minorHAnsi" w:cstheme="minorHAnsi"/>
          <w:sz w:val="16"/>
          <w:szCs w:val="16"/>
        </w:rPr>
        <w:t xml:space="preserve">No processo de implantação da modalidade, </w:t>
      </w:r>
      <w:r w:rsidR="008575C8" w:rsidRPr="00A92A3E">
        <w:rPr>
          <w:rFonts w:asciiTheme="minorHAnsi" w:hAnsiTheme="minorHAnsi" w:cstheme="minorHAnsi"/>
          <w:sz w:val="16"/>
          <w:szCs w:val="16"/>
        </w:rPr>
        <w:t xml:space="preserve">caso seja de interesse, </w:t>
      </w:r>
      <w:r w:rsidRPr="00A92A3E">
        <w:rPr>
          <w:rFonts w:asciiTheme="minorHAnsi" w:hAnsiTheme="minorHAnsi" w:cstheme="minorHAnsi"/>
          <w:sz w:val="16"/>
          <w:szCs w:val="16"/>
        </w:rPr>
        <w:t xml:space="preserve">não serão considerados desenquadramentos os limites aqui definidos, tendo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prazo de </w:t>
      </w:r>
      <w:r w:rsidRPr="00A92A3E">
        <w:rPr>
          <w:rFonts w:asciiTheme="minorHAnsi" w:hAnsiTheme="minorHAnsi" w:cstheme="minorHAnsi"/>
          <w:b/>
          <w:bCs/>
          <w:sz w:val="16"/>
          <w:szCs w:val="16"/>
        </w:rPr>
        <w:t>60 (sessenta) dias</w:t>
      </w:r>
      <w:r w:rsidRPr="00A92A3E">
        <w:rPr>
          <w:rFonts w:asciiTheme="minorHAnsi" w:hAnsiTheme="minorHAnsi" w:cstheme="minorHAnsi"/>
          <w:sz w:val="16"/>
          <w:szCs w:val="16"/>
        </w:rPr>
        <w:t xml:space="preserve"> para revisão e adequação da sua Política de Investimentos em atendimento aos novos parâmetros, especificamente o Art. 12</w:t>
      </w:r>
      <w:r w:rsidR="00832E42" w:rsidRPr="00A92A3E">
        <w:rPr>
          <w:rFonts w:asciiTheme="minorHAnsi" w:hAnsiTheme="minorHAnsi" w:cstheme="minorHAnsi"/>
          <w:sz w:val="16"/>
          <w:szCs w:val="16"/>
        </w:rPr>
        <w:t>º</w:t>
      </w:r>
      <w:r w:rsidRPr="00A92A3E">
        <w:rPr>
          <w:rFonts w:asciiTheme="minorHAnsi" w:hAnsiTheme="minorHAnsi" w:cstheme="minorHAnsi"/>
          <w:sz w:val="16"/>
          <w:szCs w:val="16"/>
        </w:rPr>
        <w:t xml:space="preserve">, § 11 da </w:t>
      </w:r>
      <w:r w:rsidRPr="00A92A3E">
        <w:rPr>
          <w:rFonts w:asciiTheme="minorHAnsi" w:hAnsiTheme="minorHAnsi" w:cstheme="minorHAnsi"/>
          <w:bCs/>
          <w:sz w:val="16"/>
          <w:szCs w:val="16"/>
        </w:rPr>
        <w:t xml:space="preserve">Resolução CMN nº </w:t>
      </w:r>
      <w:bookmarkStart w:id="44" w:name="_Toc118105144"/>
      <w:r w:rsidR="008575C8" w:rsidRPr="00A92A3E">
        <w:rPr>
          <w:rFonts w:asciiTheme="minorHAnsi" w:hAnsiTheme="minorHAnsi" w:cstheme="minorHAnsi"/>
          <w:bCs/>
          <w:sz w:val="16"/>
          <w:szCs w:val="16"/>
        </w:rPr>
        <w:t>4.963/2021</w:t>
      </w:r>
      <w:r w:rsidR="003925B3" w:rsidRPr="00A92A3E">
        <w:rPr>
          <w:rFonts w:asciiTheme="minorHAnsi" w:hAnsiTheme="minorHAnsi" w:cstheme="minorHAnsi"/>
          <w:bCs/>
          <w:sz w:val="16"/>
          <w:szCs w:val="16"/>
        </w:rPr>
        <w:t>.</w:t>
      </w:r>
    </w:p>
    <w:p w14:paraId="51AEFF26" w14:textId="62A0DBB8" w:rsidR="006519FD" w:rsidRPr="00A92A3E" w:rsidRDefault="006519FD" w:rsidP="00582B7F">
      <w:pPr>
        <w:pStyle w:val="Ttulo2"/>
        <w:rPr>
          <w:rFonts w:asciiTheme="minorHAnsi" w:hAnsiTheme="minorHAnsi" w:cstheme="minorHAnsi"/>
          <w:sz w:val="16"/>
          <w:szCs w:val="16"/>
        </w:rPr>
      </w:pPr>
      <w:r w:rsidRPr="00A92A3E">
        <w:rPr>
          <w:rFonts w:asciiTheme="minorHAnsi" w:hAnsiTheme="minorHAnsi" w:cstheme="minorHAnsi"/>
          <w:sz w:val="16"/>
          <w:szCs w:val="16"/>
        </w:rPr>
        <w:t>Taxa de Performance</w:t>
      </w:r>
    </w:p>
    <w:p w14:paraId="42A23402" w14:textId="23570474" w:rsidR="00C80701" w:rsidRPr="00A92A3E" w:rsidRDefault="00423489" w:rsidP="006519FD">
      <w:pPr>
        <w:rPr>
          <w:rFonts w:asciiTheme="minorHAnsi" w:hAnsiTheme="minorHAnsi" w:cstheme="minorHAnsi"/>
          <w:sz w:val="16"/>
          <w:szCs w:val="16"/>
        </w:rPr>
      </w:pPr>
      <w:r w:rsidRPr="00A92A3E">
        <w:rPr>
          <w:rFonts w:asciiTheme="minorHAnsi" w:hAnsiTheme="minorHAnsi" w:cstheme="minorHAnsi"/>
          <w:sz w:val="16"/>
          <w:szCs w:val="16"/>
        </w:rPr>
        <w:t>A taxa de performance</w:t>
      </w:r>
      <w:r w:rsidR="00087A51" w:rsidRPr="00A92A3E">
        <w:rPr>
          <w:rFonts w:asciiTheme="minorHAnsi" w:hAnsiTheme="minorHAnsi" w:cstheme="minorHAnsi"/>
          <w:sz w:val="16"/>
          <w:szCs w:val="16"/>
        </w:rPr>
        <w:t xml:space="preserve"> corresponde a uma taxa cobrada por um fundo de investimento pela rentabilidade acima de algum </w:t>
      </w:r>
      <w:r w:rsidR="00087A51" w:rsidRPr="00A92A3E">
        <w:rPr>
          <w:rFonts w:asciiTheme="minorHAnsi" w:hAnsiTheme="minorHAnsi" w:cstheme="minorHAnsi"/>
          <w:i/>
          <w:iCs/>
          <w:sz w:val="16"/>
          <w:szCs w:val="16"/>
        </w:rPr>
        <w:t>benchmark</w:t>
      </w:r>
      <w:r w:rsidR="00087A51" w:rsidRPr="00A92A3E">
        <w:rPr>
          <w:rFonts w:asciiTheme="minorHAnsi" w:hAnsiTheme="minorHAnsi" w:cstheme="minorHAnsi"/>
          <w:sz w:val="16"/>
          <w:szCs w:val="16"/>
        </w:rPr>
        <w:t xml:space="preserve"> pré-estabelecido, sendo, portanto, uma recompensa pelo bom desempenho dos gestores.</w:t>
      </w:r>
    </w:p>
    <w:p w14:paraId="3CB0BE6A" w14:textId="0B6D08C6" w:rsidR="005757FE" w:rsidRPr="00A92A3E" w:rsidRDefault="00CE1404" w:rsidP="005757FE">
      <w:pPr>
        <w:rPr>
          <w:rFonts w:asciiTheme="minorHAnsi" w:hAnsiTheme="minorHAnsi" w:cstheme="minorHAnsi"/>
          <w:sz w:val="16"/>
          <w:szCs w:val="16"/>
        </w:rPr>
      </w:pPr>
      <w:r w:rsidRPr="00A92A3E">
        <w:rPr>
          <w:rFonts w:asciiTheme="minorHAnsi" w:hAnsiTheme="minorHAnsi" w:cstheme="minorHAnsi"/>
          <w:sz w:val="16"/>
          <w:szCs w:val="16"/>
        </w:rPr>
        <w:t>A aplicação d</w:t>
      </w:r>
      <w:r w:rsidR="0045452D" w:rsidRPr="00A92A3E">
        <w:rPr>
          <w:rFonts w:asciiTheme="minorHAnsi" w:hAnsiTheme="minorHAnsi" w:cstheme="minorHAnsi"/>
          <w:sz w:val="16"/>
          <w:szCs w:val="16"/>
        </w:rPr>
        <w:t>os</w:t>
      </w:r>
      <w:r w:rsidRPr="00A92A3E">
        <w:rPr>
          <w:rFonts w:asciiTheme="minorHAnsi" w:hAnsiTheme="minorHAnsi" w:cstheme="minorHAnsi"/>
          <w:sz w:val="16"/>
          <w:szCs w:val="16"/>
        </w:rPr>
        <w:t xml:space="preserve"> recursos </w:t>
      </w:r>
      <w:r w:rsidR="00A73E9A" w:rsidRPr="00A92A3E">
        <w:rPr>
          <w:rFonts w:asciiTheme="minorHAnsi" w:hAnsiTheme="minorHAnsi" w:cstheme="minorHAnsi"/>
          <w:sz w:val="16"/>
          <w:szCs w:val="16"/>
        </w:rPr>
        <w:t>efetuad</w:t>
      </w:r>
      <w:r w:rsidR="0045452D" w:rsidRPr="00A92A3E">
        <w:rPr>
          <w:rFonts w:asciiTheme="minorHAnsi" w:hAnsiTheme="minorHAnsi" w:cstheme="minorHAnsi"/>
          <w:sz w:val="16"/>
          <w:szCs w:val="16"/>
        </w:rPr>
        <w:t>o</w:t>
      </w:r>
      <w:r w:rsidR="00A73E9A" w:rsidRPr="00A92A3E">
        <w:rPr>
          <w:rFonts w:asciiTheme="minorHAnsi" w:hAnsiTheme="minorHAnsi" w:cstheme="minorHAnsi"/>
          <w:sz w:val="16"/>
          <w:szCs w:val="16"/>
        </w:rPr>
        <w:t xml:space="preserve">s </w:t>
      </w:r>
      <w:r w:rsidRPr="00A92A3E">
        <w:rPr>
          <w:rFonts w:asciiTheme="minorHAnsi" w:hAnsiTheme="minorHAnsi" w:cstheme="minorHAnsi"/>
          <w:sz w:val="16"/>
          <w:szCs w:val="16"/>
        </w:rPr>
        <w:t xml:space="preserve">pelo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em fundos de</w:t>
      </w:r>
      <w:r w:rsidR="00BC7ABB" w:rsidRPr="00A92A3E">
        <w:rPr>
          <w:rFonts w:asciiTheme="minorHAnsi" w:hAnsiTheme="minorHAnsi" w:cstheme="minorHAnsi"/>
          <w:sz w:val="16"/>
          <w:szCs w:val="16"/>
        </w:rPr>
        <w:t xml:space="preserve"> </w:t>
      </w:r>
      <w:r w:rsidRPr="00A92A3E">
        <w:rPr>
          <w:rFonts w:asciiTheme="minorHAnsi" w:hAnsiTheme="minorHAnsi" w:cstheme="minorHAnsi"/>
          <w:sz w:val="16"/>
          <w:szCs w:val="16"/>
        </w:rPr>
        <w:t>investimentos</w:t>
      </w:r>
      <w:r w:rsidR="00A73E9A" w:rsidRPr="00A92A3E">
        <w:rPr>
          <w:rFonts w:asciiTheme="minorHAnsi" w:hAnsiTheme="minorHAnsi" w:cstheme="minorHAnsi"/>
          <w:sz w:val="16"/>
          <w:szCs w:val="16"/>
        </w:rPr>
        <w:t xml:space="preserve"> </w:t>
      </w:r>
      <w:r w:rsidR="002D5628" w:rsidRPr="00A92A3E">
        <w:rPr>
          <w:rFonts w:asciiTheme="minorHAnsi" w:hAnsiTheme="minorHAnsi" w:cstheme="minorHAnsi"/>
          <w:sz w:val="16"/>
          <w:szCs w:val="16"/>
        </w:rPr>
        <w:t>que prevê</w:t>
      </w:r>
      <w:r w:rsidR="008E332C" w:rsidRPr="00A92A3E">
        <w:rPr>
          <w:rFonts w:asciiTheme="minorHAnsi" w:hAnsiTheme="minorHAnsi" w:cstheme="minorHAnsi"/>
          <w:sz w:val="16"/>
          <w:szCs w:val="16"/>
        </w:rPr>
        <w:t xml:space="preserve"> em</w:t>
      </w:r>
      <w:r w:rsidRPr="00A92A3E">
        <w:rPr>
          <w:rFonts w:asciiTheme="minorHAnsi" w:hAnsiTheme="minorHAnsi" w:cstheme="minorHAnsi"/>
          <w:sz w:val="16"/>
          <w:szCs w:val="16"/>
        </w:rPr>
        <w:t xml:space="preserve"> regulamentos ou contratos cláusulas</w:t>
      </w:r>
      <w:r w:rsidR="006913B1" w:rsidRPr="00A92A3E">
        <w:rPr>
          <w:rFonts w:asciiTheme="minorHAnsi" w:hAnsiTheme="minorHAnsi" w:cstheme="minorHAnsi"/>
          <w:sz w:val="16"/>
          <w:szCs w:val="16"/>
        </w:rPr>
        <w:t xml:space="preserve"> </w:t>
      </w:r>
      <w:r w:rsidR="001C38E8" w:rsidRPr="00A92A3E">
        <w:rPr>
          <w:rFonts w:asciiTheme="minorHAnsi" w:hAnsiTheme="minorHAnsi" w:cstheme="minorHAnsi"/>
          <w:sz w:val="16"/>
          <w:szCs w:val="16"/>
        </w:rPr>
        <w:t xml:space="preserve">de </w:t>
      </w:r>
      <w:r w:rsidR="007708D7" w:rsidRPr="00A92A3E">
        <w:rPr>
          <w:rFonts w:asciiTheme="minorHAnsi" w:hAnsiTheme="minorHAnsi" w:cstheme="minorHAnsi"/>
          <w:sz w:val="16"/>
          <w:szCs w:val="16"/>
        </w:rPr>
        <w:t>pagamento da</w:t>
      </w:r>
      <w:r w:rsidRPr="00A92A3E">
        <w:rPr>
          <w:rFonts w:asciiTheme="minorHAnsi" w:hAnsiTheme="minorHAnsi" w:cstheme="minorHAnsi"/>
          <w:sz w:val="16"/>
          <w:szCs w:val="16"/>
        </w:rPr>
        <w:t xml:space="preserve"> taxa de performance</w:t>
      </w:r>
      <w:r w:rsidR="00523FCC" w:rsidRPr="00A92A3E">
        <w:rPr>
          <w:rFonts w:asciiTheme="minorHAnsi" w:hAnsiTheme="minorHAnsi" w:cstheme="minorHAnsi"/>
          <w:sz w:val="16"/>
          <w:szCs w:val="16"/>
        </w:rPr>
        <w:t xml:space="preserve">, </w:t>
      </w:r>
      <w:r w:rsidR="001C38E8" w:rsidRPr="00A92A3E">
        <w:rPr>
          <w:rFonts w:asciiTheme="minorHAnsi" w:hAnsiTheme="minorHAnsi" w:cstheme="minorHAnsi"/>
          <w:sz w:val="16"/>
          <w:szCs w:val="16"/>
        </w:rPr>
        <w:t xml:space="preserve">deverão </w:t>
      </w:r>
      <w:r w:rsidR="0045452D" w:rsidRPr="00A92A3E">
        <w:rPr>
          <w:rFonts w:asciiTheme="minorHAnsi" w:hAnsiTheme="minorHAnsi" w:cstheme="minorHAnsi"/>
          <w:sz w:val="16"/>
          <w:szCs w:val="16"/>
        </w:rPr>
        <w:t>apresentar</w:t>
      </w:r>
      <w:r w:rsidR="00710BC8" w:rsidRPr="00A92A3E">
        <w:rPr>
          <w:rFonts w:asciiTheme="minorHAnsi" w:hAnsiTheme="minorHAnsi" w:cstheme="minorHAnsi"/>
          <w:sz w:val="16"/>
          <w:szCs w:val="16"/>
        </w:rPr>
        <w:t xml:space="preserve"> a</w:t>
      </w:r>
      <w:r w:rsidR="007708D7" w:rsidRPr="00A92A3E">
        <w:rPr>
          <w:rFonts w:asciiTheme="minorHAnsi" w:hAnsiTheme="minorHAnsi" w:cstheme="minorHAnsi"/>
          <w:sz w:val="16"/>
          <w:szCs w:val="16"/>
        </w:rPr>
        <w:t>s seguintes condições:</w:t>
      </w:r>
    </w:p>
    <w:p w14:paraId="5AEDBD7B" w14:textId="77777777" w:rsidR="005757FE" w:rsidRPr="00A92A3E" w:rsidRDefault="00BB1F83" w:rsidP="00F5523C">
      <w:pPr>
        <w:pStyle w:val="PargrafodaLista"/>
        <w:numPr>
          <w:ilvl w:val="0"/>
          <w:numId w:val="26"/>
        </w:numPr>
        <w:rPr>
          <w:rFonts w:asciiTheme="minorHAnsi" w:hAnsiTheme="minorHAnsi" w:cstheme="minorHAnsi"/>
          <w:sz w:val="16"/>
          <w:szCs w:val="16"/>
        </w:rPr>
      </w:pPr>
      <w:r w:rsidRPr="00A92A3E">
        <w:rPr>
          <w:rFonts w:asciiTheme="minorHAnsi" w:hAnsiTheme="minorHAnsi" w:cstheme="minorHAnsi"/>
          <w:sz w:val="16"/>
          <w:szCs w:val="16"/>
        </w:rPr>
        <w:t>rentabilidade do investimento superior à valorização de, no mínimo, 100% (cem por cento) do índice de referência;</w:t>
      </w:r>
    </w:p>
    <w:p w14:paraId="073DC966" w14:textId="77777777" w:rsidR="005757FE" w:rsidRPr="00A92A3E" w:rsidRDefault="005757FE" w:rsidP="005757FE">
      <w:pPr>
        <w:pStyle w:val="PargrafodaLista"/>
        <w:rPr>
          <w:rFonts w:asciiTheme="minorHAnsi" w:hAnsiTheme="minorHAnsi" w:cstheme="minorHAnsi"/>
          <w:sz w:val="16"/>
          <w:szCs w:val="16"/>
        </w:rPr>
      </w:pPr>
    </w:p>
    <w:p w14:paraId="0A599C8A" w14:textId="77777777" w:rsidR="005757FE" w:rsidRPr="00A92A3E" w:rsidRDefault="00BB1F83" w:rsidP="00F5523C">
      <w:pPr>
        <w:pStyle w:val="PargrafodaLista"/>
        <w:numPr>
          <w:ilvl w:val="0"/>
          <w:numId w:val="26"/>
        </w:numPr>
        <w:rPr>
          <w:rFonts w:asciiTheme="minorHAnsi" w:hAnsiTheme="minorHAnsi" w:cstheme="minorHAnsi"/>
          <w:sz w:val="16"/>
          <w:szCs w:val="16"/>
        </w:rPr>
      </w:pPr>
      <w:r w:rsidRPr="00A92A3E">
        <w:rPr>
          <w:rFonts w:asciiTheme="minorHAnsi" w:hAnsiTheme="minorHAnsi" w:cstheme="minorHAnsi"/>
          <w:sz w:val="16"/>
          <w:szCs w:val="16"/>
        </w:rPr>
        <w:t>montante final do investimento superior ao capital inicial da aplicação ou ao valor do investimento na data do último pagamento;</w:t>
      </w:r>
    </w:p>
    <w:p w14:paraId="2AD70152" w14:textId="77777777" w:rsidR="005757FE" w:rsidRPr="00A92A3E" w:rsidRDefault="005757FE" w:rsidP="005757FE">
      <w:pPr>
        <w:pStyle w:val="PargrafodaLista"/>
        <w:rPr>
          <w:rFonts w:asciiTheme="minorHAnsi" w:hAnsiTheme="minorHAnsi" w:cstheme="minorHAnsi"/>
          <w:sz w:val="16"/>
          <w:szCs w:val="16"/>
        </w:rPr>
      </w:pPr>
    </w:p>
    <w:p w14:paraId="1523D35E" w14:textId="77777777" w:rsidR="005757FE" w:rsidRPr="00A92A3E" w:rsidRDefault="00BB1F83" w:rsidP="00F5523C">
      <w:pPr>
        <w:pStyle w:val="PargrafodaLista"/>
        <w:numPr>
          <w:ilvl w:val="0"/>
          <w:numId w:val="26"/>
        </w:numPr>
        <w:rPr>
          <w:rFonts w:asciiTheme="minorHAnsi" w:hAnsiTheme="minorHAnsi" w:cstheme="minorHAnsi"/>
          <w:sz w:val="16"/>
          <w:szCs w:val="16"/>
        </w:rPr>
      </w:pPr>
      <w:r w:rsidRPr="00A92A3E">
        <w:rPr>
          <w:rFonts w:asciiTheme="minorHAnsi" w:hAnsiTheme="minorHAnsi" w:cstheme="minorHAnsi"/>
          <w:sz w:val="16"/>
          <w:szCs w:val="16"/>
        </w:rPr>
        <w:t>periodicidade, no mínimo, semestral;</w:t>
      </w:r>
    </w:p>
    <w:p w14:paraId="1A708741" w14:textId="77777777" w:rsidR="005757FE" w:rsidRPr="00A92A3E" w:rsidRDefault="005757FE" w:rsidP="005757FE">
      <w:pPr>
        <w:pStyle w:val="PargrafodaLista"/>
        <w:rPr>
          <w:rFonts w:asciiTheme="minorHAnsi" w:hAnsiTheme="minorHAnsi" w:cstheme="minorHAnsi"/>
          <w:sz w:val="16"/>
          <w:szCs w:val="16"/>
        </w:rPr>
      </w:pPr>
    </w:p>
    <w:p w14:paraId="6CC385B1" w14:textId="771B93A4" w:rsidR="007708D7" w:rsidRPr="00A92A3E" w:rsidRDefault="00BB1F83" w:rsidP="00F5523C">
      <w:pPr>
        <w:pStyle w:val="PargrafodaLista"/>
        <w:numPr>
          <w:ilvl w:val="0"/>
          <w:numId w:val="26"/>
        </w:numPr>
        <w:rPr>
          <w:rFonts w:asciiTheme="minorHAnsi" w:hAnsiTheme="minorHAnsi" w:cstheme="minorHAnsi"/>
          <w:sz w:val="16"/>
          <w:szCs w:val="16"/>
        </w:rPr>
      </w:pPr>
      <w:r w:rsidRPr="00A92A3E">
        <w:rPr>
          <w:rFonts w:asciiTheme="minorHAnsi" w:hAnsiTheme="minorHAnsi" w:cstheme="minorHAnsi"/>
          <w:sz w:val="16"/>
          <w:szCs w:val="16"/>
        </w:rPr>
        <w:t>conformidade com as demais regras aplicáveis a investidores que não sejam considerados qualificados</w:t>
      </w:r>
      <w:r w:rsidR="00B23ED9" w:rsidRPr="00A92A3E">
        <w:rPr>
          <w:rFonts w:asciiTheme="minorHAnsi" w:hAnsiTheme="minorHAnsi" w:cstheme="minorHAnsi"/>
          <w:sz w:val="16"/>
          <w:szCs w:val="16"/>
        </w:rPr>
        <w:t xml:space="preserve"> </w:t>
      </w:r>
      <w:r w:rsidRPr="00A92A3E">
        <w:rPr>
          <w:rFonts w:asciiTheme="minorHAnsi" w:hAnsiTheme="minorHAnsi" w:cstheme="minorHAnsi"/>
          <w:sz w:val="16"/>
          <w:szCs w:val="16"/>
        </w:rPr>
        <w:t>nos termos da regulamentação da Comissão de Valores Mobiliários.</w:t>
      </w:r>
    </w:p>
    <w:p w14:paraId="533B1CB1" w14:textId="38A5F4D9" w:rsidR="00500AE2" w:rsidRPr="00A92A3E" w:rsidRDefault="00224525" w:rsidP="00F57C97">
      <w:pPr>
        <w:pStyle w:val="Ttulo2"/>
        <w:rPr>
          <w:rFonts w:asciiTheme="minorHAnsi" w:hAnsiTheme="minorHAnsi" w:cstheme="minorHAnsi"/>
          <w:sz w:val="16"/>
          <w:szCs w:val="16"/>
        </w:rPr>
      </w:pPr>
      <w:r w:rsidRPr="00A92A3E">
        <w:rPr>
          <w:rFonts w:asciiTheme="minorHAnsi" w:hAnsiTheme="minorHAnsi" w:cstheme="minorHAnsi"/>
          <w:sz w:val="16"/>
          <w:szCs w:val="16"/>
        </w:rPr>
        <w:t>Limites Gerais</w:t>
      </w:r>
      <w:bookmarkEnd w:id="44"/>
    </w:p>
    <w:p w14:paraId="1DC895F5" w14:textId="358556C7"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sz w:val="16"/>
          <w:szCs w:val="16"/>
        </w:rPr>
        <w:t xml:space="preserve">No acompanhamento dos limites gerais da carteira de investimentos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em atendimento aos limites aqui estabelecidos e da Resolução CMN n° 4.963/2021, serão consolidad</w:t>
      </w:r>
      <w:r w:rsidR="009646BE" w:rsidRPr="00A92A3E">
        <w:rPr>
          <w:rFonts w:asciiTheme="minorHAnsi" w:hAnsiTheme="minorHAnsi" w:cstheme="minorHAnsi"/>
          <w:bCs/>
          <w:sz w:val="16"/>
          <w:szCs w:val="16"/>
        </w:rPr>
        <w:t>a</w:t>
      </w:r>
      <w:r w:rsidRPr="00A92A3E">
        <w:rPr>
          <w:rFonts w:asciiTheme="minorHAnsi" w:hAnsiTheme="minorHAnsi" w:cstheme="minorHAnsi"/>
          <w:bCs/>
          <w:sz w:val="16"/>
          <w:szCs w:val="16"/>
        </w:rPr>
        <w:t xml:space="preserve">s as posições das aplicações dos recursos realizados direta e indiretamente por meio de fundos de investimentos </w:t>
      </w:r>
      <w:r w:rsidR="008C48DB" w:rsidRPr="00A92A3E">
        <w:rPr>
          <w:rFonts w:asciiTheme="minorHAnsi" w:hAnsiTheme="minorHAnsi" w:cstheme="minorHAnsi"/>
          <w:bCs/>
          <w:sz w:val="16"/>
          <w:szCs w:val="16"/>
        </w:rPr>
        <w:t xml:space="preserve">(FI) </w:t>
      </w:r>
      <w:r w:rsidRPr="00A92A3E">
        <w:rPr>
          <w:rFonts w:asciiTheme="minorHAnsi" w:hAnsiTheme="minorHAnsi" w:cstheme="minorHAnsi"/>
          <w:bCs/>
          <w:sz w:val="16"/>
          <w:szCs w:val="16"/>
        </w:rPr>
        <w:t>e fundos de investimentos em cotas de fundos de investimentos</w:t>
      </w:r>
      <w:r w:rsidR="008C48DB" w:rsidRPr="00A92A3E">
        <w:rPr>
          <w:rFonts w:asciiTheme="minorHAnsi" w:hAnsiTheme="minorHAnsi" w:cstheme="minorHAnsi"/>
          <w:bCs/>
          <w:sz w:val="16"/>
          <w:szCs w:val="16"/>
        </w:rPr>
        <w:t xml:space="preserve"> (FICFI)</w:t>
      </w:r>
      <w:r w:rsidRPr="00A92A3E">
        <w:rPr>
          <w:rFonts w:asciiTheme="minorHAnsi" w:hAnsiTheme="minorHAnsi" w:cstheme="minorHAnsi"/>
          <w:bCs/>
          <w:sz w:val="16"/>
          <w:szCs w:val="16"/>
        </w:rPr>
        <w:t>.</w:t>
      </w:r>
    </w:p>
    <w:p w14:paraId="332DA1CF" w14:textId="77777777"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Os limites utilizados para investimentos em títulos e valores mobiliários de emissão ou coobrigação de uma mesma pessoa jurídica serão os mesmos dispostos na Resolução CMN n° 4.963/2021.</w:t>
      </w:r>
    </w:p>
    <w:p w14:paraId="78A558D0" w14:textId="6F48EC05"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No que tange ao limite geral de exposição por fundos de investimentos e em cotas de fundos de investimentos, </w:t>
      </w:r>
      <w:r w:rsidRPr="00A92A3E">
        <w:rPr>
          <w:rFonts w:asciiTheme="minorHAnsi" w:hAnsiTheme="minorHAnsi" w:cstheme="minorHAnsi"/>
          <w:sz w:val="16"/>
          <w:szCs w:val="16"/>
        </w:rPr>
        <w:t>fica o</w:t>
      </w:r>
      <w:r w:rsidRPr="00A92A3E">
        <w:rPr>
          <w:rFonts w:asciiTheme="minorHAnsi" w:hAnsiTheme="minorHAnsi" w:cstheme="minorHAnsi"/>
          <w:bCs/>
          <w:color w:val="FF0000"/>
          <w:sz w:val="16"/>
          <w:szCs w:val="16"/>
        </w:rPr>
        <w:t xml:space="preserve">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 xml:space="preserve">limitado a </w:t>
      </w:r>
      <w:r w:rsidRPr="00A92A3E">
        <w:rPr>
          <w:rFonts w:asciiTheme="minorHAnsi" w:hAnsiTheme="minorHAnsi" w:cstheme="minorHAnsi"/>
          <w:b/>
          <w:sz w:val="16"/>
          <w:szCs w:val="16"/>
        </w:rPr>
        <w:t>20% de exposição</w:t>
      </w:r>
      <w:r w:rsidRPr="00A92A3E">
        <w:rPr>
          <w:rFonts w:asciiTheme="minorHAnsi" w:hAnsiTheme="minorHAnsi" w:cstheme="minorHAnsi"/>
          <w:bCs/>
          <w:sz w:val="16"/>
          <w:szCs w:val="16"/>
        </w:rPr>
        <w:t>, com exceção dada aos fundos de investimentos enquadrados no Art. 7º, inciso I, alínea “b” da Resolução CMN nº 4.963/2021.</w:t>
      </w:r>
    </w:p>
    <w:p w14:paraId="7A4D22DD" w14:textId="43F85E5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A exposição do total das aplicações dos recursos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no patrimônio líquido de um mesmo fundo de investimento </w:t>
      </w:r>
      <w:r w:rsidRPr="00A92A3E">
        <w:rPr>
          <w:rFonts w:asciiTheme="minorHAnsi" w:hAnsiTheme="minorHAnsi" w:cstheme="minorHAnsi"/>
          <w:b/>
          <w:bCs/>
          <w:sz w:val="16"/>
          <w:szCs w:val="16"/>
        </w:rPr>
        <w:t>limitar-se-ão em 15% (quinze por cento)</w:t>
      </w:r>
      <w:r w:rsidRPr="00A92A3E">
        <w:rPr>
          <w:rFonts w:asciiTheme="minorHAnsi" w:hAnsiTheme="minorHAnsi" w:cstheme="minorHAnsi"/>
          <w:sz w:val="16"/>
          <w:szCs w:val="16"/>
        </w:rPr>
        <w:t xml:space="preserve">. Para os fundos de investimentos classificados como FIDC – Fundos de Investimentos em Direitos Creditórios, Crédito Privado e FI de Infraestrutura, a exposição no patrimônio líquido de em um mesmo fundo de investimento </w:t>
      </w:r>
      <w:r w:rsidRPr="00A92A3E">
        <w:rPr>
          <w:rFonts w:asciiTheme="minorHAnsi" w:hAnsiTheme="minorHAnsi" w:cstheme="minorHAnsi"/>
          <w:b/>
          <w:bCs/>
          <w:sz w:val="16"/>
          <w:szCs w:val="16"/>
        </w:rPr>
        <w:t>limitar-se-ão à 5% (cinco por cento)</w:t>
      </w:r>
      <w:r w:rsidR="006307CA" w:rsidRPr="00A92A3E">
        <w:rPr>
          <w:rFonts w:asciiTheme="minorHAnsi" w:hAnsiTheme="minorHAnsi" w:cstheme="minorHAnsi"/>
          <w:sz w:val="16"/>
          <w:szCs w:val="16"/>
        </w:rPr>
        <w:t xml:space="preserve"> e para </w:t>
      </w:r>
      <w:r w:rsidR="0096428A" w:rsidRPr="00A92A3E">
        <w:rPr>
          <w:rFonts w:asciiTheme="minorHAnsi" w:hAnsiTheme="minorHAnsi" w:cstheme="minorHAnsi"/>
          <w:sz w:val="16"/>
          <w:szCs w:val="16"/>
        </w:rPr>
        <w:t xml:space="preserve">os fundos de investimentos classificados como “Investimentos no Exterior” considera-se para efeito de cálculo, </w:t>
      </w:r>
      <w:r w:rsidR="00C83EC6" w:rsidRPr="00A92A3E">
        <w:rPr>
          <w:rFonts w:asciiTheme="minorHAnsi" w:hAnsiTheme="minorHAnsi" w:cstheme="minorHAnsi"/>
          <w:sz w:val="16"/>
          <w:szCs w:val="16"/>
        </w:rPr>
        <w:t>o patrimônio líquido do fundo de investimento constituído no exterior.</w:t>
      </w:r>
    </w:p>
    <w:p w14:paraId="5A8FF11A" w14:textId="5031EDE3" w:rsidR="001F2F5B" w:rsidRPr="00A92A3E" w:rsidRDefault="00962503" w:rsidP="00500AE2">
      <w:pPr>
        <w:rPr>
          <w:rFonts w:asciiTheme="minorHAnsi" w:hAnsiTheme="minorHAnsi" w:cstheme="minorHAnsi"/>
          <w:sz w:val="16"/>
          <w:szCs w:val="16"/>
        </w:rPr>
      </w:pPr>
      <w:r w:rsidRPr="00A92A3E">
        <w:rPr>
          <w:rFonts w:asciiTheme="minorHAnsi" w:hAnsiTheme="minorHAnsi" w:cstheme="minorHAnsi"/>
          <w:sz w:val="16"/>
          <w:szCs w:val="16"/>
        </w:rPr>
        <w:t>Os limites estipulados acima não se aplicam</w:t>
      </w:r>
      <w:r w:rsidR="009E642B" w:rsidRPr="00A92A3E">
        <w:rPr>
          <w:rFonts w:asciiTheme="minorHAnsi" w:hAnsiTheme="minorHAnsi" w:cstheme="minorHAnsi"/>
          <w:sz w:val="16"/>
          <w:szCs w:val="16"/>
        </w:rPr>
        <w:t xml:space="preserve"> aos fundos de investimentos </w:t>
      </w:r>
      <w:r w:rsidR="00D00242" w:rsidRPr="00A92A3E">
        <w:rPr>
          <w:rFonts w:asciiTheme="minorHAnsi" w:hAnsiTheme="minorHAnsi" w:cstheme="minorHAnsi"/>
          <w:sz w:val="16"/>
          <w:szCs w:val="16"/>
        </w:rPr>
        <w:t>que apliquem seus recursos exclusivamente em Títulos Públicos</w:t>
      </w:r>
      <w:r w:rsidR="00750C52" w:rsidRPr="00A92A3E">
        <w:rPr>
          <w:rFonts w:asciiTheme="minorHAnsi" w:hAnsiTheme="minorHAnsi" w:cstheme="minorHAnsi"/>
          <w:sz w:val="16"/>
          <w:szCs w:val="16"/>
        </w:rPr>
        <w:t xml:space="preserve"> ou em Operações Compromissadas em Títulos Públicos.</w:t>
      </w:r>
    </w:p>
    <w:p w14:paraId="7C3F6980" w14:textId="278E1860"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lastRenderedPageBreak/>
        <w:t xml:space="preserve">Para os fundos de investimentos classificados como FIDC – Fundos de Investimentos em Direitos Creditórios, que fazem parte da carteira de investimentos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a partir de 1º de janeiro de 2015, o limite estabelecido no parágrafo anterior, deverá ser calculado em proporção ao total de cotas da classe sênior e não do total de cotas do fundo de investimento.</w:t>
      </w:r>
    </w:p>
    <w:p w14:paraId="27BF3F06" w14:textId="589AB790"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O total das aplicações dos recursos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em fundos de investimento não pode exceder a </w:t>
      </w:r>
      <w:r w:rsidRPr="00A92A3E">
        <w:rPr>
          <w:rFonts w:asciiTheme="minorHAnsi" w:hAnsiTheme="minorHAnsi" w:cstheme="minorHAnsi"/>
          <w:b/>
          <w:bCs/>
          <w:sz w:val="16"/>
          <w:szCs w:val="16"/>
        </w:rPr>
        <w:t>5% (cinco por cento)</w:t>
      </w:r>
      <w:r w:rsidRPr="00A92A3E">
        <w:rPr>
          <w:rFonts w:asciiTheme="minorHAnsi" w:hAnsiTheme="minorHAnsi" w:cstheme="minorHAnsi"/>
          <w:sz w:val="16"/>
          <w:szCs w:val="16"/>
        </w:rPr>
        <w:t xml:space="preserve"> do volume total de recursos de terceiros gerido por um mesmo gestor ou por gestoras ligadas ao seu respectivo grupo econômico.</w:t>
      </w:r>
    </w:p>
    <w:p w14:paraId="6EE195D4" w14:textId="1EA7656E"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Na obtenção da Certificação Institucional Pró-Gestão, os limites definidos nesta Política de Investimentos serão elevados gradativamente de acordo com o nível conquistado em consonância com o disposto no art. 7º, § 7º, art. 8º, § 3º</w:t>
      </w:r>
      <w:r w:rsidR="00133110" w:rsidRPr="00A92A3E">
        <w:rPr>
          <w:rFonts w:asciiTheme="minorHAnsi" w:hAnsiTheme="minorHAnsi" w:cstheme="minorHAnsi"/>
          <w:sz w:val="16"/>
          <w:szCs w:val="16"/>
        </w:rPr>
        <w:t>,</w:t>
      </w:r>
      <w:r w:rsidRPr="00A92A3E">
        <w:rPr>
          <w:rFonts w:asciiTheme="minorHAnsi" w:hAnsiTheme="minorHAnsi" w:cstheme="minorHAnsi"/>
          <w:sz w:val="16"/>
          <w:szCs w:val="16"/>
        </w:rPr>
        <w:t xml:space="preserve"> art. 10º, § 2º</w:t>
      </w:r>
      <w:r w:rsidR="00133110" w:rsidRPr="00A92A3E">
        <w:rPr>
          <w:rFonts w:asciiTheme="minorHAnsi" w:hAnsiTheme="minorHAnsi" w:cstheme="minorHAnsi"/>
          <w:sz w:val="16"/>
          <w:szCs w:val="16"/>
        </w:rPr>
        <w:t xml:space="preserve"> e art. 14</w:t>
      </w:r>
      <w:r w:rsidR="00373B6A" w:rsidRPr="00A92A3E">
        <w:rPr>
          <w:rFonts w:asciiTheme="minorHAnsi" w:hAnsiTheme="minorHAnsi" w:cstheme="minorHAnsi"/>
          <w:sz w:val="16"/>
          <w:szCs w:val="16"/>
        </w:rPr>
        <w:t>º, § único</w:t>
      </w:r>
      <w:r w:rsidRPr="00A92A3E">
        <w:rPr>
          <w:rFonts w:asciiTheme="minorHAnsi" w:hAnsiTheme="minorHAnsi" w:cstheme="minorHAnsi"/>
          <w:sz w:val="16"/>
          <w:szCs w:val="16"/>
        </w:rPr>
        <w:t xml:space="preserve"> da Resolução CMN nº4.963/2021.</w:t>
      </w:r>
    </w:p>
    <w:p w14:paraId="646823EB" w14:textId="524878D7" w:rsidR="00635488" w:rsidRPr="00A92A3E" w:rsidRDefault="00500AE2" w:rsidP="00500AE2">
      <w:pPr>
        <w:rPr>
          <w:rFonts w:asciiTheme="minorHAnsi" w:hAnsiTheme="minorHAnsi" w:cstheme="minorHAnsi"/>
          <w:sz w:val="16"/>
          <w:szCs w:val="16"/>
        </w:rPr>
      </w:pPr>
      <w:bookmarkStart w:id="45" w:name="_Toc496794768"/>
      <w:bookmarkStart w:id="46" w:name="_Toc496794769"/>
      <w:bookmarkStart w:id="47" w:name="_Toc496794770"/>
      <w:bookmarkStart w:id="48" w:name="_Toc496794771"/>
      <w:bookmarkStart w:id="49" w:name="_Toc496794772"/>
      <w:bookmarkStart w:id="50" w:name="_Toc490036550"/>
      <w:bookmarkEnd w:id="45"/>
      <w:bookmarkEnd w:id="46"/>
      <w:bookmarkEnd w:id="47"/>
      <w:bookmarkEnd w:id="48"/>
      <w:bookmarkEnd w:id="49"/>
      <w:r w:rsidRPr="00A92A3E">
        <w:rPr>
          <w:rFonts w:asciiTheme="minorHAnsi" w:hAnsiTheme="minorHAnsi" w:cstheme="minorHAnsi"/>
          <w:sz w:val="16"/>
          <w:szCs w:val="16"/>
        </w:rPr>
        <w:t>Em eventual desenquadramento dos limites aqui definidos, o Comitê de Investimentos juntamente com o Gestor dos Recursos, deverão se ater as Políticas de Contingência definidas nesta Política de Investimentos.</w:t>
      </w:r>
    </w:p>
    <w:p w14:paraId="63AA7031" w14:textId="2BF0F885" w:rsidR="00500AE2" w:rsidRPr="00A92A3E" w:rsidRDefault="00F57C97" w:rsidP="00F57C97">
      <w:pPr>
        <w:pStyle w:val="Ttulo2"/>
        <w:rPr>
          <w:rFonts w:asciiTheme="minorHAnsi" w:hAnsiTheme="minorHAnsi" w:cstheme="minorHAnsi"/>
          <w:sz w:val="16"/>
          <w:szCs w:val="16"/>
        </w:rPr>
      </w:pPr>
      <w:bookmarkStart w:id="51" w:name="_Toc118105145"/>
      <w:r w:rsidRPr="00A92A3E">
        <w:rPr>
          <w:rFonts w:asciiTheme="minorHAnsi" w:hAnsiTheme="minorHAnsi" w:cstheme="minorHAnsi"/>
          <w:sz w:val="16"/>
          <w:szCs w:val="16"/>
        </w:rPr>
        <w:t>Demais Enquadramento</w:t>
      </w:r>
      <w:bookmarkEnd w:id="50"/>
      <w:r w:rsidRPr="00A92A3E">
        <w:rPr>
          <w:rFonts w:asciiTheme="minorHAnsi" w:hAnsiTheme="minorHAnsi" w:cstheme="minorHAnsi"/>
          <w:sz w:val="16"/>
          <w:szCs w:val="16"/>
        </w:rPr>
        <w:t>s</w:t>
      </w:r>
      <w:bookmarkEnd w:id="51"/>
    </w:p>
    <w:p w14:paraId="54FDCBEB" w14:textId="6885976E" w:rsidR="005757FE" w:rsidRPr="00A92A3E" w:rsidRDefault="00500AE2" w:rsidP="005757FE">
      <w:pPr>
        <w:rPr>
          <w:rFonts w:asciiTheme="minorHAnsi" w:hAnsiTheme="minorHAnsi" w:cstheme="minorHAnsi"/>
          <w:sz w:val="16"/>
          <w:szCs w:val="16"/>
        </w:rPr>
      </w:pPr>
      <w:r w:rsidRPr="00A92A3E">
        <w:rPr>
          <w:rFonts w:asciiTheme="minorHAnsi" w:hAnsiTheme="minorHAnsi" w:cstheme="minorHAnsi"/>
          <w:sz w:val="16"/>
          <w:szCs w:val="16"/>
        </w:rPr>
        <w:t xml:space="preserve">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considera todos os limites estipulados nesta Política de Investimentos e na Resolução CMN n° 4.963/2021, destacando especificamente:</w:t>
      </w:r>
    </w:p>
    <w:p w14:paraId="47B774D8" w14:textId="77777777" w:rsidR="005757FE" w:rsidRPr="00A92A3E" w:rsidRDefault="00500AE2" w:rsidP="00F5523C">
      <w:pPr>
        <w:pStyle w:val="PargrafodaLista"/>
        <w:numPr>
          <w:ilvl w:val="0"/>
          <w:numId w:val="27"/>
        </w:numPr>
        <w:rPr>
          <w:rFonts w:asciiTheme="minorHAnsi" w:hAnsiTheme="minorHAnsi" w:cstheme="minorHAnsi"/>
          <w:sz w:val="16"/>
          <w:szCs w:val="16"/>
        </w:rPr>
      </w:pPr>
      <w:r w:rsidRPr="00A92A3E">
        <w:rPr>
          <w:rFonts w:asciiTheme="minorHAnsi" w:hAnsiTheme="minorHAnsi" w:cstheme="minorHAnsi"/>
          <w:sz w:val="16"/>
          <w:szCs w:val="16"/>
        </w:rPr>
        <w:t>Poderão ser mantidas em carteira de investimentos, por até 180 (cento e oitenta) dias, as aplicações que passem a ficar desenquadradas em relação a esta Política de Investimentos e a Resolução CMN nº 4.963/2021, desde que seja comprovado que o desenquadramento foi decorrente de situações involuntárias, para as quais não tenha dado causa, e que o seu desinvestimento ocasionaria, comparativamente à sua manutenção, maiores riscos para o atendimento aos princípios segurança, rentabilidade, solvência, liquidez, motivação, adequação a natureza de suas obrigações e transparência;</w:t>
      </w:r>
    </w:p>
    <w:p w14:paraId="7B7317A8" w14:textId="77777777" w:rsidR="005757FE" w:rsidRPr="00A92A3E" w:rsidRDefault="005757FE" w:rsidP="005757FE">
      <w:pPr>
        <w:pStyle w:val="PargrafodaLista"/>
        <w:rPr>
          <w:rFonts w:asciiTheme="minorHAnsi" w:hAnsiTheme="minorHAnsi" w:cstheme="minorHAnsi"/>
          <w:sz w:val="16"/>
          <w:szCs w:val="16"/>
        </w:rPr>
      </w:pPr>
    </w:p>
    <w:p w14:paraId="70E69749" w14:textId="2CF1F610" w:rsidR="00500AE2" w:rsidRPr="00A92A3E" w:rsidRDefault="00500AE2" w:rsidP="00F5523C">
      <w:pPr>
        <w:pStyle w:val="PargrafodaLista"/>
        <w:numPr>
          <w:ilvl w:val="0"/>
          <w:numId w:val="27"/>
        </w:numPr>
        <w:rPr>
          <w:rFonts w:asciiTheme="minorHAnsi" w:hAnsiTheme="minorHAnsi" w:cstheme="minorHAnsi"/>
          <w:sz w:val="16"/>
          <w:szCs w:val="16"/>
        </w:rPr>
      </w:pPr>
      <w:r w:rsidRPr="00A92A3E">
        <w:rPr>
          <w:rFonts w:asciiTheme="minorHAnsi" w:hAnsiTheme="minorHAnsi" w:cstheme="minorHAnsi"/>
          <w:bCs/>
          <w:sz w:val="16"/>
          <w:szCs w:val="16"/>
        </w:rPr>
        <w:t xml:space="preserve">Poderão ainda ser mantidas em carteira de investimentos, até seu respectivo encerramento, os fundos de investimentos que apresentem prazos para vencimento, resgate, carência ou conversão de cotas superior a </w:t>
      </w:r>
      <w:r w:rsidRPr="00A92A3E">
        <w:rPr>
          <w:rFonts w:asciiTheme="minorHAnsi" w:hAnsiTheme="minorHAnsi" w:cstheme="minorHAnsi"/>
          <w:sz w:val="16"/>
          <w:szCs w:val="16"/>
        </w:rPr>
        <w:t>180 (cento e oitenta) dias</w:t>
      </w:r>
      <w:r w:rsidRPr="00A92A3E">
        <w:rPr>
          <w:rFonts w:asciiTheme="minorHAnsi" w:hAnsiTheme="minorHAnsi" w:cstheme="minorHAnsi"/>
          <w:bCs/>
          <w:sz w:val="16"/>
          <w:szCs w:val="16"/>
        </w:rPr>
        <w:t xml:space="preserve">, estando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obrigado a demonstrar a adoção de medidas de melhoria da governança e do controle de riscos na gestão dos recursos.</w:t>
      </w:r>
    </w:p>
    <w:p w14:paraId="5FBD8E92" w14:textId="77777777" w:rsidR="005757FE" w:rsidRPr="00A92A3E" w:rsidRDefault="00500AE2" w:rsidP="005757FE">
      <w:pPr>
        <w:rPr>
          <w:rFonts w:asciiTheme="minorHAnsi" w:hAnsiTheme="minorHAnsi" w:cstheme="minorHAnsi"/>
          <w:bCs/>
          <w:sz w:val="16"/>
          <w:szCs w:val="16"/>
        </w:rPr>
      </w:pPr>
      <w:r w:rsidRPr="00A92A3E">
        <w:rPr>
          <w:rFonts w:asciiTheme="minorHAnsi" w:hAnsiTheme="minorHAnsi" w:cstheme="minorHAnsi"/>
          <w:bCs/>
          <w:sz w:val="16"/>
          <w:szCs w:val="16"/>
        </w:rPr>
        <w:t>Serão entendidos como situações involuntárias:</w:t>
      </w:r>
    </w:p>
    <w:p w14:paraId="4F7639FA" w14:textId="77777777" w:rsidR="005757FE" w:rsidRPr="00A92A3E" w:rsidRDefault="00500AE2" w:rsidP="00F5523C">
      <w:pPr>
        <w:pStyle w:val="PargrafodaLista"/>
        <w:numPr>
          <w:ilvl w:val="0"/>
          <w:numId w:val="28"/>
        </w:numPr>
        <w:rPr>
          <w:rFonts w:asciiTheme="minorHAnsi" w:hAnsiTheme="minorHAnsi" w:cstheme="minorHAnsi"/>
          <w:bCs/>
          <w:sz w:val="16"/>
          <w:szCs w:val="16"/>
        </w:rPr>
      </w:pPr>
      <w:r w:rsidRPr="00A92A3E">
        <w:rPr>
          <w:rFonts w:asciiTheme="minorHAnsi" w:hAnsiTheme="minorHAnsi" w:cstheme="minorHAnsi"/>
          <w:bCs/>
          <w:sz w:val="16"/>
          <w:szCs w:val="16"/>
        </w:rPr>
        <w:t>Entrada em vigor de alterações da Resolução vigente;</w:t>
      </w:r>
    </w:p>
    <w:p w14:paraId="29BBB8F8" w14:textId="77777777" w:rsidR="005757FE" w:rsidRPr="00A92A3E" w:rsidRDefault="005757FE" w:rsidP="005757FE">
      <w:pPr>
        <w:pStyle w:val="PargrafodaLista"/>
        <w:rPr>
          <w:rFonts w:asciiTheme="minorHAnsi" w:hAnsiTheme="minorHAnsi" w:cstheme="minorHAnsi"/>
          <w:bCs/>
          <w:sz w:val="16"/>
          <w:szCs w:val="16"/>
        </w:rPr>
      </w:pPr>
    </w:p>
    <w:p w14:paraId="0D45EF88" w14:textId="29BBC02D" w:rsidR="005757FE" w:rsidRPr="00A92A3E" w:rsidRDefault="00500AE2" w:rsidP="00F5523C">
      <w:pPr>
        <w:pStyle w:val="PargrafodaLista"/>
        <w:numPr>
          <w:ilvl w:val="0"/>
          <w:numId w:val="28"/>
        </w:numPr>
        <w:rPr>
          <w:rFonts w:asciiTheme="minorHAnsi" w:hAnsiTheme="minorHAnsi" w:cstheme="minorHAnsi"/>
          <w:bCs/>
          <w:sz w:val="16"/>
          <w:szCs w:val="16"/>
        </w:rPr>
      </w:pPr>
      <w:r w:rsidRPr="00A92A3E">
        <w:rPr>
          <w:rFonts w:asciiTheme="minorHAnsi" w:hAnsiTheme="minorHAnsi" w:cstheme="minorHAnsi"/>
          <w:bCs/>
          <w:sz w:val="16"/>
          <w:szCs w:val="16"/>
        </w:rPr>
        <w:t xml:space="preserve">Resgate de cotas de fundos de investimento por um outro cotista, nos quais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não efetue novos aportes;</w:t>
      </w:r>
    </w:p>
    <w:p w14:paraId="4F02E8A1" w14:textId="77777777" w:rsidR="005757FE" w:rsidRPr="00A92A3E" w:rsidRDefault="005757FE" w:rsidP="005757FE">
      <w:pPr>
        <w:pStyle w:val="PargrafodaLista"/>
        <w:rPr>
          <w:rFonts w:asciiTheme="minorHAnsi" w:hAnsiTheme="minorHAnsi" w:cstheme="minorHAnsi"/>
          <w:bCs/>
          <w:sz w:val="16"/>
          <w:szCs w:val="16"/>
        </w:rPr>
      </w:pPr>
    </w:p>
    <w:p w14:paraId="23FCB18A" w14:textId="7B0B99AF" w:rsidR="005757FE" w:rsidRPr="00A92A3E" w:rsidRDefault="00500AE2" w:rsidP="00F5523C">
      <w:pPr>
        <w:pStyle w:val="PargrafodaLista"/>
        <w:numPr>
          <w:ilvl w:val="0"/>
          <w:numId w:val="28"/>
        </w:numPr>
        <w:rPr>
          <w:rFonts w:asciiTheme="minorHAnsi" w:hAnsiTheme="minorHAnsi" w:cstheme="minorHAnsi"/>
          <w:bCs/>
          <w:sz w:val="16"/>
          <w:szCs w:val="16"/>
        </w:rPr>
      </w:pPr>
      <w:r w:rsidRPr="00A92A3E">
        <w:rPr>
          <w:rFonts w:asciiTheme="minorHAnsi" w:hAnsiTheme="minorHAnsi" w:cstheme="minorHAnsi"/>
          <w:bCs/>
          <w:sz w:val="16"/>
          <w:szCs w:val="16"/>
        </w:rPr>
        <w:t xml:space="preserve">Valorização ou desvalorização dos demais ativos financeiros e fundos de investimentos que incorporam a carteira de investimentos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w:t>
      </w:r>
    </w:p>
    <w:p w14:paraId="3033CF34" w14:textId="77777777" w:rsidR="005757FE" w:rsidRPr="00A92A3E" w:rsidRDefault="005757FE" w:rsidP="005757FE">
      <w:pPr>
        <w:pStyle w:val="PargrafodaLista"/>
        <w:rPr>
          <w:rFonts w:asciiTheme="minorHAnsi" w:hAnsiTheme="minorHAnsi" w:cstheme="minorHAnsi"/>
          <w:bCs/>
          <w:sz w:val="16"/>
          <w:szCs w:val="16"/>
        </w:rPr>
      </w:pPr>
    </w:p>
    <w:p w14:paraId="0D742ED6" w14:textId="1CD3E6C5" w:rsidR="005757FE" w:rsidRPr="00A92A3E" w:rsidRDefault="00500AE2" w:rsidP="00F5523C">
      <w:pPr>
        <w:pStyle w:val="PargrafodaLista"/>
        <w:numPr>
          <w:ilvl w:val="0"/>
          <w:numId w:val="28"/>
        </w:numPr>
        <w:rPr>
          <w:rFonts w:asciiTheme="minorHAnsi" w:hAnsiTheme="minorHAnsi" w:cstheme="minorHAnsi"/>
          <w:bCs/>
          <w:sz w:val="16"/>
          <w:szCs w:val="16"/>
        </w:rPr>
      </w:pPr>
      <w:r w:rsidRPr="00A92A3E">
        <w:rPr>
          <w:rFonts w:asciiTheme="minorHAnsi" w:hAnsiTheme="minorHAnsi" w:cstheme="minorHAnsi"/>
          <w:bCs/>
          <w:sz w:val="16"/>
          <w:szCs w:val="16"/>
        </w:rPr>
        <w:t xml:space="preserve">Reorganização da estrutura do fundo de investimento em decorrência de incorporação, fusão, cisão e transformação ou de outras deliberações da assembleia geral de cotistas, após as aplicações realizadas pelo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w:t>
      </w:r>
    </w:p>
    <w:p w14:paraId="3D357D9E" w14:textId="77777777" w:rsidR="005757FE" w:rsidRPr="00A92A3E" w:rsidRDefault="005757FE" w:rsidP="005757FE">
      <w:pPr>
        <w:pStyle w:val="PargrafodaLista"/>
        <w:rPr>
          <w:rFonts w:asciiTheme="minorHAnsi" w:hAnsiTheme="minorHAnsi" w:cstheme="minorHAnsi"/>
          <w:bCs/>
          <w:sz w:val="16"/>
          <w:szCs w:val="16"/>
        </w:rPr>
      </w:pPr>
    </w:p>
    <w:p w14:paraId="14B9BAF0" w14:textId="6E9DB969" w:rsidR="005757FE" w:rsidRPr="00A92A3E" w:rsidRDefault="00500AE2" w:rsidP="00F5523C">
      <w:pPr>
        <w:pStyle w:val="PargrafodaLista"/>
        <w:numPr>
          <w:ilvl w:val="0"/>
          <w:numId w:val="28"/>
        </w:numPr>
        <w:rPr>
          <w:rFonts w:asciiTheme="minorHAnsi" w:hAnsiTheme="minorHAnsi" w:cstheme="minorHAnsi"/>
          <w:bCs/>
          <w:sz w:val="16"/>
          <w:szCs w:val="16"/>
        </w:rPr>
      </w:pPr>
      <w:r w:rsidRPr="00A92A3E">
        <w:rPr>
          <w:rFonts w:asciiTheme="minorHAnsi" w:hAnsiTheme="minorHAnsi" w:cstheme="minorHAnsi"/>
          <w:bCs/>
          <w:sz w:val="16"/>
          <w:szCs w:val="16"/>
        </w:rPr>
        <w:t xml:space="preserve">Ocorrência de eventos de riscos que prejudiquem a formação das reservas e a evolução do patrimônio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ou quando decorrentes de revisão do plano de custeio e da segregação da massa;</w:t>
      </w:r>
    </w:p>
    <w:p w14:paraId="3445485A" w14:textId="77777777" w:rsidR="005757FE" w:rsidRPr="00A92A3E" w:rsidRDefault="005757FE" w:rsidP="005757FE">
      <w:pPr>
        <w:pStyle w:val="PargrafodaLista"/>
        <w:rPr>
          <w:rFonts w:asciiTheme="minorHAnsi" w:hAnsiTheme="minorHAnsi" w:cstheme="minorHAnsi"/>
          <w:bCs/>
          <w:sz w:val="16"/>
          <w:szCs w:val="16"/>
        </w:rPr>
      </w:pPr>
    </w:p>
    <w:p w14:paraId="1673A51B" w14:textId="0942A780" w:rsidR="005757FE" w:rsidRPr="00A92A3E" w:rsidRDefault="00500AE2" w:rsidP="00F5523C">
      <w:pPr>
        <w:pStyle w:val="PargrafodaLista"/>
        <w:numPr>
          <w:ilvl w:val="0"/>
          <w:numId w:val="28"/>
        </w:numPr>
        <w:rPr>
          <w:rFonts w:asciiTheme="minorHAnsi" w:hAnsiTheme="minorHAnsi" w:cstheme="minorHAnsi"/>
          <w:bCs/>
          <w:sz w:val="16"/>
          <w:szCs w:val="16"/>
        </w:rPr>
      </w:pPr>
      <w:r w:rsidRPr="00A92A3E">
        <w:rPr>
          <w:rFonts w:asciiTheme="minorHAnsi" w:hAnsiTheme="minorHAnsi" w:cstheme="minorHAnsi"/>
          <w:bCs/>
          <w:sz w:val="16"/>
          <w:szCs w:val="16"/>
        </w:rPr>
        <w:t xml:space="preserve">Aplicações efetuadas na aquisição de cotas de fundo de investimento destinado exclusivamente a investidores qualificados ou profissionais, caso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deixe de atender aos critérios estabelecidos para essa categorização em regulamentação específica, com exceção do exposto na Nota Técnica SEI nº 457/2022/MTP; e</w:t>
      </w:r>
    </w:p>
    <w:p w14:paraId="6D91C599" w14:textId="77777777" w:rsidR="005757FE" w:rsidRPr="00A92A3E" w:rsidRDefault="005757FE" w:rsidP="005757FE">
      <w:pPr>
        <w:pStyle w:val="PargrafodaLista"/>
        <w:rPr>
          <w:rFonts w:asciiTheme="minorHAnsi" w:hAnsiTheme="minorHAnsi" w:cstheme="minorHAnsi"/>
          <w:bCs/>
          <w:sz w:val="16"/>
          <w:szCs w:val="16"/>
        </w:rPr>
      </w:pPr>
    </w:p>
    <w:p w14:paraId="646BD6F9" w14:textId="77777777" w:rsidR="00405783" w:rsidRPr="00A92A3E" w:rsidRDefault="00500AE2" w:rsidP="00F5523C">
      <w:pPr>
        <w:pStyle w:val="PargrafodaLista"/>
        <w:numPr>
          <w:ilvl w:val="0"/>
          <w:numId w:val="28"/>
        </w:numPr>
        <w:rPr>
          <w:rFonts w:asciiTheme="minorHAnsi" w:hAnsiTheme="minorHAnsi" w:cstheme="minorHAnsi"/>
          <w:bCs/>
          <w:sz w:val="16"/>
          <w:szCs w:val="16"/>
        </w:rPr>
      </w:pPr>
      <w:r w:rsidRPr="00A92A3E">
        <w:rPr>
          <w:rFonts w:asciiTheme="minorHAnsi" w:hAnsiTheme="minorHAnsi" w:cstheme="minorHAnsi"/>
          <w:bCs/>
          <w:sz w:val="16"/>
          <w:szCs w:val="16"/>
        </w:rPr>
        <w:t>Aplicações efetuadas em fundos de investimentos ou ativos financeiros que deixarem de observar os requisitos e condições previstos na Resolução CMN nº 4.963/2021.</w:t>
      </w:r>
    </w:p>
    <w:p w14:paraId="18230406" w14:textId="77777777" w:rsidR="00405783" w:rsidRPr="00A92A3E" w:rsidRDefault="00405783" w:rsidP="00405783">
      <w:pPr>
        <w:pStyle w:val="PargrafodaLista"/>
        <w:rPr>
          <w:rFonts w:asciiTheme="minorHAnsi" w:hAnsiTheme="minorHAnsi" w:cstheme="minorHAnsi"/>
          <w:bCs/>
          <w:sz w:val="16"/>
          <w:szCs w:val="16"/>
        </w:rPr>
      </w:pPr>
    </w:p>
    <w:p w14:paraId="6E1EF288" w14:textId="04CA6AB2" w:rsidR="00500AE2" w:rsidRPr="00A92A3E" w:rsidRDefault="00500AE2" w:rsidP="00405783">
      <w:pPr>
        <w:rPr>
          <w:rFonts w:asciiTheme="minorHAnsi" w:hAnsiTheme="minorHAnsi" w:cstheme="minorHAnsi"/>
          <w:bCs/>
          <w:sz w:val="16"/>
          <w:szCs w:val="16"/>
        </w:rPr>
      </w:pPr>
      <w:r w:rsidRPr="00A92A3E">
        <w:rPr>
          <w:rFonts w:asciiTheme="minorHAnsi" w:hAnsiTheme="minorHAnsi" w:cstheme="minorHAnsi"/>
          <w:bCs/>
          <w:sz w:val="16"/>
          <w:szCs w:val="16"/>
        </w:rPr>
        <w:t>Se os direitos, títulos e valores mobiliários que compõem as carteiras dos fundos de investimentos e os seus emissores deixarem de ser considerados como de baixo risco de crédito, após as aplicações realizadas pela unidade gestora.</w:t>
      </w:r>
    </w:p>
    <w:p w14:paraId="7D77D4D6" w14:textId="46CFAD58" w:rsidR="00635488"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Na obtenção da Certificação Institucional Pró-Gestão, não serão considerados desenquadramentos os limites aqui definidos, tendo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prazo de </w:t>
      </w:r>
      <w:r w:rsidR="005E6F83" w:rsidRPr="00A92A3E">
        <w:rPr>
          <w:rFonts w:asciiTheme="minorHAnsi" w:hAnsiTheme="minorHAnsi" w:cstheme="minorHAnsi"/>
          <w:b/>
          <w:bCs/>
          <w:sz w:val="16"/>
          <w:szCs w:val="16"/>
        </w:rPr>
        <w:t>9</w:t>
      </w:r>
      <w:r w:rsidRPr="00A92A3E">
        <w:rPr>
          <w:rFonts w:asciiTheme="minorHAnsi" w:hAnsiTheme="minorHAnsi" w:cstheme="minorHAnsi"/>
          <w:b/>
          <w:bCs/>
          <w:sz w:val="16"/>
          <w:szCs w:val="16"/>
        </w:rPr>
        <w:t>0 (</w:t>
      </w:r>
      <w:r w:rsidR="005E6F83" w:rsidRPr="00A92A3E">
        <w:rPr>
          <w:rFonts w:asciiTheme="minorHAnsi" w:hAnsiTheme="minorHAnsi" w:cstheme="minorHAnsi"/>
          <w:b/>
          <w:bCs/>
          <w:sz w:val="16"/>
          <w:szCs w:val="16"/>
        </w:rPr>
        <w:t>noventa</w:t>
      </w:r>
      <w:r w:rsidRPr="00A92A3E">
        <w:rPr>
          <w:rFonts w:asciiTheme="minorHAnsi" w:hAnsiTheme="minorHAnsi" w:cstheme="minorHAnsi"/>
          <w:b/>
          <w:bCs/>
          <w:sz w:val="16"/>
          <w:szCs w:val="16"/>
        </w:rPr>
        <w:t>) dias</w:t>
      </w:r>
      <w:r w:rsidRPr="00A92A3E">
        <w:rPr>
          <w:rFonts w:asciiTheme="minorHAnsi" w:hAnsiTheme="minorHAnsi" w:cstheme="minorHAnsi"/>
          <w:sz w:val="16"/>
          <w:szCs w:val="16"/>
        </w:rPr>
        <w:t xml:space="preserve"> para revisão e adequação da sua Política de Investimentos em atendimento aos novos limites.</w:t>
      </w:r>
    </w:p>
    <w:p w14:paraId="25E7F153" w14:textId="7513EE74" w:rsidR="00500AE2" w:rsidRPr="00A92A3E" w:rsidRDefault="00F57C97" w:rsidP="00F57C97">
      <w:pPr>
        <w:pStyle w:val="Ttulo2"/>
        <w:rPr>
          <w:rFonts w:asciiTheme="minorHAnsi" w:hAnsiTheme="minorHAnsi" w:cstheme="minorHAnsi"/>
          <w:sz w:val="16"/>
          <w:szCs w:val="16"/>
        </w:rPr>
      </w:pPr>
      <w:bookmarkStart w:id="52" w:name="_Toc435202745"/>
      <w:bookmarkStart w:id="53" w:name="_Toc490036551"/>
      <w:bookmarkStart w:id="54" w:name="_Toc118105146"/>
      <w:r w:rsidRPr="00A92A3E">
        <w:rPr>
          <w:rFonts w:asciiTheme="minorHAnsi" w:hAnsiTheme="minorHAnsi" w:cstheme="minorHAnsi"/>
          <w:sz w:val="16"/>
          <w:szCs w:val="16"/>
        </w:rPr>
        <w:lastRenderedPageBreak/>
        <w:t>Vedações</w:t>
      </w:r>
      <w:bookmarkEnd w:id="52"/>
      <w:bookmarkEnd w:id="53"/>
      <w:bookmarkEnd w:id="54"/>
    </w:p>
    <w:p w14:paraId="700831BC" w14:textId="4E5D60C7" w:rsidR="00F57C97" w:rsidRPr="00A92A3E" w:rsidRDefault="00500AE2" w:rsidP="00F57C97">
      <w:pPr>
        <w:rPr>
          <w:rFonts w:asciiTheme="minorHAnsi" w:hAnsiTheme="minorHAnsi" w:cstheme="minorHAnsi"/>
          <w:bCs/>
          <w:sz w:val="16"/>
          <w:szCs w:val="16"/>
        </w:rPr>
      </w:pPr>
      <w:r w:rsidRPr="00A92A3E">
        <w:rPr>
          <w:rFonts w:asciiTheme="minorHAnsi" w:hAnsiTheme="minorHAnsi" w:cstheme="minorHAnsi"/>
          <w:bCs/>
          <w:sz w:val="16"/>
          <w:szCs w:val="16"/>
        </w:rPr>
        <w:t xml:space="preserve">O Gestor dos Recursos e o Comitê de Investimento do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deverão seguir as vedações estabelecidas na Resolução CMN n° 4.963/2021, ficando adicionalmente vedada a aquisição de:</w:t>
      </w:r>
    </w:p>
    <w:p w14:paraId="0280FB53" w14:textId="77777777" w:rsidR="00F57C97" w:rsidRPr="00A92A3E" w:rsidRDefault="00500AE2" w:rsidP="00F5523C">
      <w:pPr>
        <w:pStyle w:val="PargrafodaLista"/>
        <w:numPr>
          <w:ilvl w:val="0"/>
          <w:numId w:val="11"/>
        </w:numPr>
        <w:rPr>
          <w:rFonts w:asciiTheme="minorHAnsi" w:hAnsiTheme="minorHAnsi" w:cstheme="minorHAnsi"/>
          <w:bCs/>
          <w:sz w:val="16"/>
          <w:szCs w:val="16"/>
        </w:rPr>
      </w:pPr>
      <w:r w:rsidRPr="00A92A3E">
        <w:rPr>
          <w:rFonts w:asciiTheme="minorHAnsi" w:hAnsiTheme="minorHAnsi" w:cstheme="minorHAnsi"/>
          <w:bCs/>
          <w:sz w:val="16"/>
          <w:szCs w:val="16"/>
        </w:rPr>
        <w:t>Operações compromissadas lastreadas em títulos públicos e</w:t>
      </w:r>
    </w:p>
    <w:p w14:paraId="2437DA39" w14:textId="77777777" w:rsidR="00F57C97" w:rsidRPr="00A92A3E" w:rsidRDefault="00F57C97" w:rsidP="00F57C97">
      <w:pPr>
        <w:pStyle w:val="PargrafodaLista"/>
        <w:rPr>
          <w:rFonts w:asciiTheme="minorHAnsi" w:hAnsiTheme="minorHAnsi" w:cstheme="minorHAnsi"/>
          <w:bCs/>
          <w:sz w:val="16"/>
          <w:szCs w:val="16"/>
        </w:rPr>
      </w:pPr>
    </w:p>
    <w:p w14:paraId="23797C45" w14:textId="293653C1" w:rsidR="00500AE2" w:rsidRPr="00A92A3E" w:rsidRDefault="00500AE2" w:rsidP="00F5523C">
      <w:pPr>
        <w:pStyle w:val="PargrafodaLista"/>
        <w:numPr>
          <w:ilvl w:val="0"/>
          <w:numId w:val="11"/>
        </w:numPr>
        <w:rPr>
          <w:rFonts w:asciiTheme="minorHAnsi" w:hAnsiTheme="minorHAnsi" w:cstheme="minorHAnsi"/>
          <w:bCs/>
          <w:sz w:val="16"/>
          <w:szCs w:val="16"/>
        </w:rPr>
      </w:pPr>
      <w:r w:rsidRPr="00A92A3E">
        <w:rPr>
          <w:rFonts w:asciiTheme="minorHAnsi" w:hAnsiTheme="minorHAnsi" w:cstheme="minorHAnsi"/>
          <w:bCs/>
          <w:sz w:val="16"/>
          <w:szCs w:val="16"/>
        </w:rPr>
        <w:t>Aquisição de qualquer ativo final com alto risco de crédito.</w:t>
      </w:r>
    </w:p>
    <w:p w14:paraId="5F175477" w14:textId="77777777" w:rsidR="00EE4513" w:rsidRPr="00A92A3E" w:rsidRDefault="00EE4513" w:rsidP="00EE4513">
      <w:pPr>
        <w:pStyle w:val="PargrafodaLista"/>
        <w:rPr>
          <w:rFonts w:asciiTheme="minorHAnsi" w:hAnsiTheme="minorHAnsi" w:cstheme="minorHAnsi"/>
          <w:bCs/>
          <w:sz w:val="16"/>
          <w:szCs w:val="16"/>
        </w:rPr>
      </w:pPr>
    </w:p>
    <w:p w14:paraId="24165CC4" w14:textId="6772D8B3" w:rsidR="007A3B51" w:rsidRPr="00A92A3E" w:rsidRDefault="00A02560" w:rsidP="007A3B51">
      <w:pPr>
        <w:rPr>
          <w:rFonts w:asciiTheme="minorHAnsi" w:hAnsiTheme="minorHAnsi" w:cstheme="minorHAnsi"/>
          <w:sz w:val="16"/>
          <w:szCs w:val="16"/>
        </w:rPr>
      </w:pPr>
      <w:r w:rsidRPr="00A92A3E">
        <w:rPr>
          <w:rFonts w:asciiTheme="minorHAnsi" w:hAnsiTheme="minorHAnsi" w:cstheme="minorHAnsi"/>
          <w:sz w:val="16"/>
          <w:szCs w:val="16"/>
        </w:rPr>
        <w:t>Quanto a aquisição de Títulos Públicos</w:t>
      </w:r>
      <w:r w:rsidR="00EE4513" w:rsidRPr="00A92A3E">
        <w:rPr>
          <w:rFonts w:asciiTheme="minorHAnsi" w:hAnsiTheme="minorHAnsi" w:cstheme="minorHAnsi"/>
          <w:sz w:val="16"/>
          <w:szCs w:val="16"/>
        </w:rPr>
        <w:t>,</w:t>
      </w:r>
      <w:r w:rsidRPr="00A92A3E">
        <w:rPr>
          <w:rFonts w:asciiTheme="minorHAnsi" w:hAnsiTheme="minorHAnsi" w:cstheme="minorHAnsi"/>
          <w:sz w:val="16"/>
          <w:szCs w:val="16"/>
        </w:rPr>
        <w:t xml:space="preserve"> </w:t>
      </w:r>
      <w:r w:rsidR="000B26C5" w:rsidRPr="00A92A3E">
        <w:rPr>
          <w:rFonts w:asciiTheme="minorHAnsi" w:hAnsiTheme="minorHAnsi" w:cstheme="minorHAnsi"/>
          <w:sz w:val="16"/>
          <w:szCs w:val="16"/>
        </w:rPr>
        <w:t xml:space="preserve">conforme disposta na Portaria MTP nº 1.467/2022, </w:t>
      </w:r>
      <w:r w:rsidRPr="00A92A3E">
        <w:rPr>
          <w:rFonts w:asciiTheme="minorHAnsi" w:hAnsiTheme="minorHAnsi" w:cstheme="minorHAnsi"/>
          <w:sz w:val="16"/>
          <w:szCs w:val="16"/>
        </w:rPr>
        <w:t xml:space="preserve">fica 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007A3B51" w:rsidRPr="00A92A3E">
        <w:rPr>
          <w:rFonts w:asciiTheme="minorHAnsi" w:hAnsiTheme="minorHAnsi" w:cstheme="minorHAnsi"/>
          <w:sz w:val="16"/>
          <w:szCs w:val="16"/>
        </w:rPr>
        <w:t>vedado d</w:t>
      </w:r>
      <w:r w:rsidR="00BC3383" w:rsidRPr="00A92A3E">
        <w:rPr>
          <w:rFonts w:asciiTheme="minorHAnsi" w:hAnsiTheme="minorHAnsi" w:cstheme="minorHAnsi"/>
          <w:sz w:val="16"/>
          <w:szCs w:val="16"/>
        </w:rPr>
        <w:t xml:space="preserve">e </w:t>
      </w:r>
      <w:r w:rsidR="000B26C5" w:rsidRPr="00A92A3E">
        <w:rPr>
          <w:rFonts w:asciiTheme="minorHAnsi" w:hAnsiTheme="minorHAnsi" w:cstheme="minorHAnsi"/>
          <w:sz w:val="16"/>
          <w:szCs w:val="16"/>
        </w:rPr>
        <w:t>adquirir</w:t>
      </w:r>
      <w:r w:rsidR="00EE4513" w:rsidRPr="00A92A3E">
        <w:rPr>
          <w:rFonts w:asciiTheme="minorHAnsi" w:hAnsiTheme="minorHAnsi" w:cstheme="minorHAnsi"/>
          <w:sz w:val="16"/>
          <w:szCs w:val="16"/>
        </w:rPr>
        <w:t>:</w:t>
      </w:r>
    </w:p>
    <w:p w14:paraId="70A12726" w14:textId="77777777" w:rsidR="0074320D" w:rsidRPr="00A92A3E" w:rsidRDefault="0074320D" w:rsidP="00F5523C">
      <w:pPr>
        <w:pStyle w:val="PargrafodaLista"/>
        <w:numPr>
          <w:ilvl w:val="0"/>
          <w:numId w:val="20"/>
        </w:numPr>
        <w:rPr>
          <w:rFonts w:asciiTheme="minorHAnsi" w:hAnsiTheme="minorHAnsi" w:cstheme="minorHAnsi"/>
          <w:sz w:val="16"/>
          <w:szCs w:val="16"/>
        </w:rPr>
      </w:pPr>
      <w:r w:rsidRPr="00A92A3E">
        <w:rPr>
          <w:rFonts w:asciiTheme="minorHAnsi" w:hAnsiTheme="minorHAnsi" w:cstheme="minorHAnsi"/>
          <w:sz w:val="16"/>
          <w:szCs w:val="16"/>
        </w:rPr>
        <w:t>Títulos que n</w:t>
      </w:r>
      <w:r w:rsidR="00EE4513" w:rsidRPr="00A92A3E">
        <w:rPr>
          <w:rFonts w:asciiTheme="minorHAnsi" w:hAnsiTheme="minorHAnsi" w:cstheme="minorHAnsi"/>
          <w:sz w:val="16"/>
          <w:szCs w:val="16"/>
        </w:rPr>
        <w:t>ão sejam emitidos pelo Tesouro Nacional;</w:t>
      </w:r>
    </w:p>
    <w:p w14:paraId="34019C3D" w14:textId="77777777" w:rsidR="0074320D" w:rsidRPr="00A92A3E" w:rsidRDefault="0074320D" w:rsidP="0074320D">
      <w:pPr>
        <w:pStyle w:val="PargrafodaLista"/>
        <w:rPr>
          <w:rFonts w:asciiTheme="minorHAnsi" w:hAnsiTheme="minorHAnsi" w:cstheme="minorHAnsi"/>
          <w:sz w:val="16"/>
          <w:szCs w:val="16"/>
        </w:rPr>
      </w:pPr>
    </w:p>
    <w:p w14:paraId="07DC605F" w14:textId="77777777" w:rsidR="0074320D" w:rsidRPr="00A92A3E" w:rsidRDefault="0074320D" w:rsidP="00F5523C">
      <w:pPr>
        <w:pStyle w:val="PargrafodaLista"/>
        <w:numPr>
          <w:ilvl w:val="0"/>
          <w:numId w:val="20"/>
        </w:numPr>
        <w:rPr>
          <w:rFonts w:asciiTheme="minorHAnsi" w:hAnsiTheme="minorHAnsi" w:cstheme="minorHAnsi"/>
          <w:sz w:val="16"/>
          <w:szCs w:val="16"/>
        </w:rPr>
      </w:pPr>
      <w:r w:rsidRPr="00A92A3E">
        <w:rPr>
          <w:rFonts w:asciiTheme="minorHAnsi" w:hAnsiTheme="minorHAnsi" w:cstheme="minorHAnsi"/>
          <w:sz w:val="16"/>
          <w:szCs w:val="16"/>
        </w:rPr>
        <w:t>Títulos que</w:t>
      </w:r>
      <w:r w:rsidR="00EE4513" w:rsidRPr="00A92A3E">
        <w:rPr>
          <w:rFonts w:asciiTheme="minorHAnsi" w:hAnsiTheme="minorHAnsi" w:cstheme="minorHAnsi"/>
          <w:sz w:val="16"/>
          <w:szCs w:val="16"/>
        </w:rPr>
        <w:t xml:space="preserve"> não sejam registradas no SELIC; e</w:t>
      </w:r>
    </w:p>
    <w:p w14:paraId="704646A2" w14:textId="77777777" w:rsidR="0074320D" w:rsidRPr="00A92A3E" w:rsidRDefault="0074320D" w:rsidP="0074320D">
      <w:pPr>
        <w:pStyle w:val="PargrafodaLista"/>
        <w:rPr>
          <w:rFonts w:asciiTheme="minorHAnsi" w:hAnsiTheme="minorHAnsi" w:cstheme="minorHAnsi"/>
          <w:sz w:val="16"/>
          <w:szCs w:val="16"/>
        </w:rPr>
      </w:pPr>
    </w:p>
    <w:p w14:paraId="7068CC15" w14:textId="544E1AC2" w:rsidR="00F57C97" w:rsidRPr="0072415A" w:rsidRDefault="0074320D" w:rsidP="00184B6A">
      <w:pPr>
        <w:pStyle w:val="PargrafodaLista"/>
        <w:numPr>
          <w:ilvl w:val="0"/>
          <w:numId w:val="20"/>
        </w:numPr>
        <w:jc w:val="left"/>
        <w:rPr>
          <w:rFonts w:asciiTheme="minorHAnsi" w:hAnsiTheme="minorHAnsi" w:cstheme="minorHAnsi"/>
          <w:bCs/>
          <w:sz w:val="16"/>
          <w:szCs w:val="16"/>
        </w:rPr>
      </w:pPr>
      <w:r w:rsidRPr="0072415A">
        <w:rPr>
          <w:rFonts w:asciiTheme="minorHAnsi" w:hAnsiTheme="minorHAnsi" w:cstheme="minorHAnsi"/>
          <w:sz w:val="16"/>
          <w:szCs w:val="16"/>
        </w:rPr>
        <w:t>Títulos q</w:t>
      </w:r>
      <w:r w:rsidR="00EE4513" w:rsidRPr="0072415A">
        <w:rPr>
          <w:rFonts w:asciiTheme="minorHAnsi" w:hAnsiTheme="minorHAnsi" w:cstheme="minorHAnsi"/>
          <w:sz w:val="16"/>
          <w:szCs w:val="16"/>
        </w:rPr>
        <w:t>ue sejam emitidos por Estados, Distrito Federal ou Municípios.</w:t>
      </w:r>
    </w:p>
    <w:p w14:paraId="30D98F59" w14:textId="71921E20" w:rsidR="00700C52" w:rsidRPr="00A92A3E" w:rsidRDefault="00700C52" w:rsidP="00F57C97">
      <w:pPr>
        <w:pStyle w:val="Ttulo1"/>
        <w:rPr>
          <w:rFonts w:asciiTheme="minorHAnsi" w:hAnsiTheme="minorHAnsi" w:cstheme="minorHAnsi"/>
          <w:sz w:val="16"/>
          <w:szCs w:val="16"/>
        </w:rPr>
      </w:pPr>
      <w:bookmarkStart w:id="55" w:name="_Toc496794731"/>
      <w:bookmarkStart w:id="56" w:name="_Toc496794732"/>
      <w:bookmarkStart w:id="57" w:name="_Toc496794733"/>
      <w:bookmarkStart w:id="58" w:name="_Toc496794734"/>
      <w:bookmarkStart w:id="59" w:name="_Toc496794735"/>
      <w:bookmarkStart w:id="60" w:name="_Toc496794736"/>
      <w:bookmarkStart w:id="61" w:name="_Toc496794737"/>
      <w:bookmarkStart w:id="62" w:name="_Toc496794738"/>
      <w:bookmarkStart w:id="63" w:name="_Toc496794739"/>
      <w:bookmarkStart w:id="64" w:name="_Toc496794740"/>
      <w:bookmarkStart w:id="65" w:name="_Toc496794741"/>
      <w:bookmarkStart w:id="66" w:name="_Toc496794742"/>
      <w:bookmarkStart w:id="67" w:name="_Toc496794743"/>
      <w:bookmarkStart w:id="68" w:name="_Toc496794744"/>
      <w:bookmarkStart w:id="69" w:name="_Toc496794745"/>
      <w:bookmarkStart w:id="70" w:name="_Toc496794746"/>
      <w:bookmarkStart w:id="71" w:name="_Toc496794747"/>
      <w:bookmarkStart w:id="72" w:name="_Toc496794748"/>
      <w:bookmarkStart w:id="73" w:name="_Toc496794749"/>
      <w:bookmarkStart w:id="74" w:name="_Toc496794750"/>
      <w:bookmarkStart w:id="75" w:name="_Toc496794751"/>
      <w:bookmarkStart w:id="76" w:name="_Toc496794752"/>
      <w:bookmarkStart w:id="77" w:name="_Toc496794753"/>
      <w:bookmarkStart w:id="78" w:name="_Toc496794754"/>
      <w:bookmarkStart w:id="79" w:name="_Toc496794755"/>
      <w:bookmarkStart w:id="80" w:name="_Toc496794756"/>
      <w:bookmarkStart w:id="81" w:name="_Toc496794757"/>
      <w:bookmarkStart w:id="82" w:name="_Toc496794758"/>
      <w:bookmarkStart w:id="83" w:name="_Toc496794759"/>
      <w:bookmarkStart w:id="84" w:name="_Toc496794760"/>
      <w:bookmarkStart w:id="85" w:name="_Toc496794761"/>
      <w:bookmarkStart w:id="86" w:name="_Toc496794762"/>
      <w:bookmarkStart w:id="87" w:name="_Toc496794763"/>
      <w:bookmarkStart w:id="88" w:name="_Toc150330294"/>
      <w:bookmarkStart w:id="89" w:name="_Toc118105147"/>
      <w:bookmarkEnd w:id="29"/>
      <w:bookmarkEnd w:id="3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A92A3E">
        <w:rPr>
          <w:rFonts w:asciiTheme="minorHAnsi" w:hAnsiTheme="minorHAnsi" w:cstheme="minorHAnsi"/>
          <w:sz w:val="16"/>
          <w:szCs w:val="16"/>
        </w:rPr>
        <w:t>EMPR</w:t>
      </w:r>
      <w:r w:rsidR="00582B7F" w:rsidRPr="00A92A3E">
        <w:rPr>
          <w:rFonts w:asciiTheme="minorHAnsi" w:hAnsiTheme="minorHAnsi" w:cstheme="minorHAnsi"/>
          <w:sz w:val="16"/>
          <w:szCs w:val="16"/>
        </w:rPr>
        <w:t>É</w:t>
      </w:r>
      <w:r w:rsidRPr="00A92A3E">
        <w:rPr>
          <w:rFonts w:asciiTheme="minorHAnsi" w:hAnsiTheme="minorHAnsi" w:cstheme="minorHAnsi"/>
          <w:sz w:val="16"/>
          <w:szCs w:val="16"/>
        </w:rPr>
        <w:t>STIMO CONSIGNADO</w:t>
      </w:r>
      <w:bookmarkEnd w:id="88"/>
    </w:p>
    <w:p w14:paraId="1FE98BE3" w14:textId="701909E6" w:rsidR="000C40DA" w:rsidRPr="00A92A3E" w:rsidRDefault="00A05B65" w:rsidP="00A05B65">
      <w:pPr>
        <w:pStyle w:val="Ttulo2"/>
        <w:rPr>
          <w:rFonts w:asciiTheme="minorHAnsi" w:hAnsiTheme="minorHAnsi" w:cstheme="minorHAnsi"/>
          <w:sz w:val="16"/>
          <w:szCs w:val="16"/>
        </w:rPr>
      </w:pPr>
      <w:r w:rsidRPr="00A92A3E">
        <w:rPr>
          <w:rFonts w:asciiTheme="minorHAnsi" w:hAnsiTheme="minorHAnsi" w:cstheme="minorHAnsi"/>
          <w:sz w:val="16"/>
          <w:szCs w:val="16"/>
        </w:rPr>
        <w:t>Objetivo</w:t>
      </w:r>
    </w:p>
    <w:p w14:paraId="27308606" w14:textId="0C15AD06" w:rsidR="001063BC" w:rsidRPr="00A92A3E" w:rsidRDefault="00FB5A32" w:rsidP="001063BC">
      <w:pPr>
        <w:rPr>
          <w:rFonts w:asciiTheme="minorHAnsi" w:hAnsiTheme="minorHAnsi" w:cstheme="minorHAnsi"/>
          <w:sz w:val="16"/>
          <w:szCs w:val="16"/>
        </w:rPr>
      </w:pPr>
      <w:r w:rsidRPr="00A92A3E">
        <w:rPr>
          <w:rFonts w:asciiTheme="minorHAnsi" w:hAnsiTheme="minorHAnsi" w:cstheme="minorHAnsi"/>
          <w:sz w:val="16"/>
          <w:szCs w:val="16"/>
        </w:rPr>
        <w:t xml:space="preserve">Com a </w:t>
      </w:r>
      <w:r w:rsidR="004C46D2" w:rsidRPr="00A92A3E">
        <w:rPr>
          <w:rFonts w:asciiTheme="minorHAnsi" w:hAnsiTheme="minorHAnsi" w:cstheme="minorHAnsi"/>
          <w:sz w:val="16"/>
          <w:szCs w:val="16"/>
        </w:rPr>
        <w:t xml:space="preserve">possibilidade </w:t>
      </w:r>
      <w:r w:rsidR="001C0869" w:rsidRPr="00A92A3E">
        <w:rPr>
          <w:rFonts w:asciiTheme="minorHAnsi" w:hAnsiTheme="minorHAnsi" w:cstheme="minorHAnsi"/>
          <w:sz w:val="16"/>
          <w:szCs w:val="16"/>
        </w:rPr>
        <w:t xml:space="preserve">da concessão </w:t>
      </w:r>
      <w:r w:rsidR="002641DD" w:rsidRPr="00A92A3E">
        <w:rPr>
          <w:rFonts w:asciiTheme="minorHAnsi" w:hAnsiTheme="minorHAnsi" w:cstheme="minorHAnsi"/>
          <w:sz w:val="16"/>
          <w:szCs w:val="16"/>
        </w:rPr>
        <w:t xml:space="preserve">e administração </w:t>
      </w:r>
      <w:r w:rsidR="001C0869" w:rsidRPr="00A92A3E">
        <w:rPr>
          <w:rFonts w:asciiTheme="minorHAnsi" w:hAnsiTheme="minorHAnsi" w:cstheme="minorHAnsi"/>
          <w:sz w:val="16"/>
          <w:szCs w:val="16"/>
        </w:rPr>
        <w:t>d</w:t>
      </w:r>
      <w:r w:rsidR="002641DD" w:rsidRPr="00A92A3E">
        <w:rPr>
          <w:rFonts w:asciiTheme="minorHAnsi" w:hAnsiTheme="minorHAnsi" w:cstheme="minorHAnsi"/>
          <w:sz w:val="16"/>
          <w:szCs w:val="16"/>
        </w:rPr>
        <w:t>e</w:t>
      </w:r>
      <w:r w:rsidR="001C0869" w:rsidRPr="00A92A3E">
        <w:rPr>
          <w:rFonts w:asciiTheme="minorHAnsi" w:hAnsiTheme="minorHAnsi" w:cstheme="minorHAnsi"/>
          <w:sz w:val="16"/>
          <w:szCs w:val="16"/>
        </w:rPr>
        <w:t xml:space="preserve"> empréstimo consignado</w:t>
      </w:r>
      <w:r w:rsidR="002641DD" w:rsidRPr="00A92A3E">
        <w:rPr>
          <w:rFonts w:asciiTheme="minorHAnsi" w:hAnsiTheme="minorHAnsi" w:cstheme="minorHAnsi"/>
          <w:sz w:val="16"/>
          <w:szCs w:val="16"/>
        </w:rPr>
        <w:t xml:space="preserve"> aos segurados em atividade, aposentados e pensionistas</w:t>
      </w:r>
      <w:r w:rsidR="001C0869" w:rsidRPr="00A92A3E">
        <w:rPr>
          <w:rFonts w:asciiTheme="minorHAnsi" w:hAnsiTheme="minorHAnsi" w:cstheme="minorHAnsi"/>
          <w:sz w:val="16"/>
          <w:szCs w:val="16"/>
        </w:rPr>
        <w:t xml:space="preserve"> </w:t>
      </w:r>
      <w:r w:rsidR="00021CC6" w:rsidRPr="00A92A3E">
        <w:rPr>
          <w:rFonts w:asciiTheme="minorHAnsi" w:hAnsiTheme="minorHAnsi" w:cstheme="minorHAnsi"/>
          <w:sz w:val="16"/>
          <w:szCs w:val="16"/>
        </w:rPr>
        <w:t xml:space="preserve">(“tomadores”) </w:t>
      </w:r>
      <w:r w:rsidR="001C0869" w:rsidRPr="00A92A3E">
        <w:rPr>
          <w:rFonts w:asciiTheme="minorHAnsi" w:hAnsiTheme="minorHAnsi" w:cstheme="minorHAnsi"/>
          <w:sz w:val="16"/>
          <w:szCs w:val="16"/>
        </w:rPr>
        <w:t xml:space="preserve">por parte do </w:t>
      </w:r>
      <w:r w:rsidR="00B53180">
        <w:rPr>
          <w:rStyle w:val="paragrafo"/>
          <w:rFonts w:asciiTheme="minorHAnsi" w:hAnsiTheme="minorHAnsi" w:cstheme="minorHAnsi"/>
          <w:b/>
          <w:bCs/>
          <w:sz w:val="16"/>
          <w:szCs w:val="16"/>
        </w:rPr>
        <w:t>FUNDO ESPECIAL DE PREVIDÊNCIA SOCIAL DE JAGUARIÚNA</w:t>
      </w:r>
      <w:r w:rsidR="00722F43" w:rsidRPr="00A92A3E">
        <w:rPr>
          <w:rFonts w:asciiTheme="minorHAnsi" w:hAnsiTheme="minorHAnsi" w:cstheme="minorHAnsi"/>
          <w:sz w:val="16"/>
          <w:szCs w:val="16"/>
        </w:rPr>
        <w:t>, se faz necessário o estabelecimento d</w:t>
      </w:r>
      <w:r w:rsidR="001063BC" w:rsidRPr="00A92A3E">
        <w:rPr>
          <w:rFonts w:asciiTheme="minorHAnsi" w:hAnsiTheme="minorHAnsi" w:cstheme="minorHAnsi"/>
          <w:sz w:val="16"/>
          <w:szCs w:val="16"/>
        </w:rPr>
        <w:t xml:space="preserve">as </w:t>
      </w:r>
      <w:r w:rsidR="00745AD5" w:rsidRPr="00A92A3E">
        <w:rPr>
          <w:rFonts w:asciiTheme="minorHAnsi" w:hAnsiTheme="minorHAnsi" w:cstheme="minorHAnsi"/>
          <w:sz w:val="16"/>
          <w:szCs w:val="16"/>
        </w:rPr>
        <w:t xml:space="preserve">políticas, </w:t>
      </w:r>
      <w:r w:rsidR="001063BC" w:rsidRPr="00A92A3E">
        <w:rPr>
          <w:rFonts w:asciiTheme="minorHAnsi" w:hAnsiTheme="minorHAnsi" w:cstheme="minorHAnsi"/>
          <w:sz w:val="16"/>
          <w:szCs w:val="16"/>
        </w:rPr>
        <w:t>condições</w:t>
      </w:r>
      <w:r w:rsidR="00722F43" w:rsidRPr="00A92A3E">
        <w:rPr>
          <w:rFonts w:asciiTheme="minorHAnsi" w:hAnsiTheme="minorHAnsi" w:cstheme="minorHAnsi"/>
          <w:sz w:val="16"/>
          <w:szCs w:val="16"/>
        </w:rPr>
        <w:t>, diretrizes</w:t>
      </w:r>
      <w:r w:rsidR="007922E4" w:rsidRPr="00A92A3E">
        <w:rPr>
          <w:rFonts w:asciiTheme="minorHAnsi" w:hAnsiTheme="minorHAnsi" w:cstheme="minorHAnsi"/>
          <w:sz w:val="16"/>
          <w:szCs w:val="16"/>
        </w:rPr>
        <w:t>, controles e a gestão dos processos, desde a</w:t>
      </w:r>
      <w:r w:rsidR="001063BC" w:rsidRPr="00A92A3E">
        <w:rPr>
          <w:rFonts w:asciiTheme="minorHAnsi" w:hAnsiTheme="minorHAnsi" w:cstheme="minorHAnsi"/>
          <w:sz w:val="16"/>
          <w:szCs w:val="16"/>
        </w:rPr>
        <w:t xml:space="preserve"> concessão</w:t>
      </w:r>
      <w:r w:rsidR="00EA078F" w:rsidRPr="00A92A3E">
        <w:rPr>
          <w:rFonts w:asciiTheme="minorHAnsi" w:hAnsiTheme="minorHAnsi" w:cstheme="minorHAnsi"/>
          <w:sz w:val="16"/>
          <w:szCs w:val="16"/>
        </w:rPr>
        <w:t>, administração</w:t>
      </w:r>
      <w:r w:rsidR="00C634C7" w:rsidRPr="00A92A3E">
        <w:rPr>
          <w:rFonts w:asciiTheme="minorHAnsi" w:hAnsiTheme="minorHAnsi" w:cstheme="minorHAnsi"/>
          <w:sz w:val="16"/>
          <w:szCs w:val="16"/>
        </w:rPr>
        <w:t>,</w:t>
      </w:r>
      <w:r w:rsidR="00DA020A" w:rsidRPr="00A92A3E">
        <w:rPr>
          <w:rFonts w:asciiTheme="minorHAnsi" w:hAnsiTheme="minorHAnsi" w:cstheme="minorHAnsi"/>
          <w:sz w:val="16"/>
          <w:szCs w:val="16"/>
        </w:rPr>
        <w:t xml:space="preserve"> operacionalização e</w:t>
      </w:r>
      <w:r w:rsidR="00EA078F" w:rsidRPr="00A92A3E">
        <w:rPr>
          <w:rFonts w:asciiTheme="minorHAnsi" w:hAnsiTheme="minorHAnsi" w:cstheme="minorHAnsi"/>
          <w:sz w:val="16"/>
          <w:szCs w:val="16"/>
        </w:rPr>
        <w:t xml:space="preserve"> cobrança</w:t>
      </w:r>
      <w:r w:rsidR="00D27276" w:rsidRPr="00A92A3E">
        <w:rPr>
          <w:rFonts w:asciiTheme="minorHAnsi" w:hAnsiTheme="minorHAnsi" w:cstheme="minorHAnsi"/>
          <w:sz w:val="16"/>
          <w:szCs w:val="16"/>
        </w:rPr>
        <w:t>.</w:t>
      </w:r>
    </w:p>
    <w:p w14:paraId="376DFC69" w14:textId="04F1E40D" w:rsidR="00635488" w:rsidRPr="00A92A3E" w:rsidRDefault="002C6464" w:rsidP="002C6464">
      <w:pPr>
        <w:rPr>
          <w:rFonts w:asciiTheme="minorHAnsi" w:hAnsiTheme="minorHAnsi" w:cstheme="minorHAnsi"/>
          <w:sz w:val="16"/>
          <w:szCs w:val="16"/>
        </w:rPr>
      </w:pPr>
      <w:r w:rsidRPr="00A92A3E">
        <w:rPr>
          <w:rFonts w:asciiTheme="minorHAnsi" w:hAnsiTheme="minorHAnsi" w:cstheme="minorHAnsi"/>
          <w:sz w:val="16"/>
          <w:szCs w:val="16"/>
        </w:rPr>
        <w:t xml:space="preserve">O empréstimo concedido aos </w:t>
      </w:r>
      <w:r w:rsidR="00021CC6" w:rsidRPr="00A92A3E">
        <w:rPr>
          <w:rFonts w:asciiTheme="minorHAnsi" w:hAnsiTheme="minorHAnsi" w:cstheme="minorHAnsi"/>
          <w:sz w:val="16"/>
          <w:szCs w:val="16"/>
        </w:rPr>
        <w:t>tomadores</w:t>
      </w:r>
      <w:r w:rsidR="00EB69CD"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é considerado uma aplicação financeira para 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xml:space="preserve">, conforme determina </w:t>
      </w:r>
      <w:r w:rsidR="00EB69CD" w:rsidRPr="00A92A3E">
        <w:rPr>
          <w:rFonts w:asciiTheme="minorHAnsi" w:hAnsiTheme="minorHAnsi" w:cstheme="minorHAnsi"/>
          <w:sz w:val="16"/>
          <w:szCs w:val="16"/>
        </w:rPr>
        <w:t>a Resolução CMN nº 4.963/2021</w:t>
      </w:r>
      <w:r w:rsidRPr="00A92A3E">
        <w:rPr>
          <w:rFonts w:asciiTheme="minorHAnsi" w:hAnsiTheme="minorHAnsi" w:cstheme="minorHAnsi"/>
          <w:sz w:val="16"/>
          <w:szCs w:val="16"/>
        </w:rPr>
        <w:t>.</w:t>
      </w:r>
    </w:p>
    <w:p w14:paraId="72D6F2E8" w14:textId="77777777" w:rsidR="00837806" w:rsidRPr="00A92A3E" w:rsidRDefault="00837806" w:rsidP="00F5523C">
      <w:pPr>
        <w:pStyle w:val="Ttulo2"/>
        <w:numPr>
          <w:ilvl w:val="1"/>
          <w:numId w:val="24"/>
        </w:numPr>
        <w:rPr>
          <w:rFonts w:asciiTheme="minorHAnsi" w:hAnsiTheme="minorHAnsi" w:cstheme="minorHAnsi"/>
          <w:sz w:val="16"/>
          <w:szCs w:val="16"/>
        </w:rPr>
      </w:pPr>
      <w:r w:rsidRPr="00A92A3E">
        <w:rPr>
          <w:rFonts w:asciiTheme="minorHAnsi" w:hAnsiTheme="minorHAnsi" w:cstheme="minorHAnsi"/>
          <w:sz w:val="16"/>
          <w:szCs w:val="16"/>
        </w:rPr>
        <w:t>Parâmetro de Rentabilidade</w:t>
      </w:r>
    </w:p>
    <w:p w14:paraId="20761EA2" w14:textId="2FFD002F" w:rsidR="00635488" w:rsidRPr="00A92A3E" w:rsidRDefault="00837806" w:rsidP="00837806">
      <w:pPr>
        <w:rPr>
          <w:rFonts w:asciiTheme="minorHAnsi" w:hAnsiTheme="minorHAnsi" w:cstheme="minorHAnsi"/>
          <w:sz w:val="16"/>
          <w:szCs w:val="16"/>
        </w:rPr>
      </w:pPr>
      <w:r w:rsidRPr="00A92A3E">
        <w:rPr>
          <w:rFonts w:asciiTheme="minorHAnsi" w:hAnsiTheme="minorHAnsi" w:cstheme="minorHAnsi"/>
          <w:sz w:val="16"/>
          <w:szCs w:val="16"/>
        </w:rPr>
        <w:t>Os parâmetros de rentabilidade perseguidos para a carteira de empréstimos consignados buscar</w:t>
      </w:r>
      <w:r w:rsidR="00053CAA" w:rsidRPr="00A92A3E">
        <w:rPr>
          <w:rFonts w:asciiTheme="minorHAnsi" w:hAnsiTheme="minorHAnsi" w:cstheme="minorHAnsi"/>
          <w:sz w:val="16"/>
          <w:szCs w:val="16"/>
        </w:rPr>
        <w:t>ão</w:t>
      </w:r>
      <w:r w:rsidRPr="00A92A3E">
        <w:rPr>
          <w:rFonts w:asciiTheme="minorHAnsi" w:hAnsiTheme="minorHAnsi" w:cstheme="minorHAnsi"/>
          <w:sz w:val="16"/>
          <w:szCs w:val="16"/>
        </w:rPr>
        <w:t xml:space="preserve"> compatibilidade com o perfil das obrigações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tendo em vista a necessidade de busca e manutenção do equilíbrio financeiro e atuarial.</w:t>
      </w:r>
    </w:p>
    <w:p w14:paraId="733FA417" w14:textId="3B3DEA2F" w:rsidR="00700C52" w:rsidRPr="00A92A3E" w:rsidRDefault="00ED755D" w:rsidP="001D5B0D">
      <w:pPr>
        <w:pStyle w:val="Ttulo2"/>
        <w:rPr>
          <w:rFonts w:asciiTheme="minorHAnsi" w:hAnsiTheme="minorHAnsi" w:cstheme="minorHAnsi"/>
          <w:sz w:val="16"/>
          <w:szCs w:val="16"/>
        </w:rPr>
      </w:pPr>
      <w:r w:rsidRPr="00A92A3E">
        <w:rPr>
          <w:rFonts w:asciiTheme="minorHAnsi" w:hAnsiTheme="minorHAnsi" w:cstheme="minorHAnsi"/>
          <w:sz w:val="16"/>
          <w:szCs w:val="16"/>
        </w:rPr>
        <w:t>Modalidades de Empréstimo</w:t>
      </w:r>
    </w:p>
    <w:p w14:paraId="1E9BDF58" w14:textId="1746BE6C" w:rsidR="00AB5237" w:rsidRPr="00A92A3E" w:rsidRDefault="00AB5237" w:rsidP="00AB5237">
      <w:pPr>
        <w:rPr>
          <w:rFonts w:asciiTheme="minorHAnsi" w:hAnsiTheme="minorHAnsi" w:cstheme="minorHAnsi"/>
          <w:sz w:val="16"/>
          <w:szCs w:val="16"/>
        </w:rPr>
      </w:pPr>
      <w:r w:rsidRPr="00A92A3E">
        <w:rPr>
          <w:rFonts w:asciiTheme="minorHAnsi" w:hAnsiTheme="minorHAnsi" w:cstheme="minorHAnsi"/>
          <w:sz w:val="16"/>
          <w:szCs w:val="16"/>
        </w:rPr>
        <w:t xml:space="preserve">Os empréstimos concedidos pelo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Pr="00A92A3E">
        <w:rPr>
          <w:rFonts w:asciiTheme="minorHAnsi" w:hAnsiTheme="minorHAnsi" w:cstheme="minorHAnsi"/>
          <w:sz w:val="16"/>
          <w:szCs w:val="16"/>
        </w:rPr>
        <w:t>são em parcelas fixas e consignados em folha</w:t>
      </w:r>
      <w:r w:rsidR="00053CAA" w:rsidRPr="00A92A3E">
        <w:rPr>
          <w:rFonts w:asciiTheme="minorHAnsi" w:hAnsiTheme="minorHAnsi" w:cstheme="minorHAnsi"/>
          <w:sz w:val="16"/>
          <w:szCs w:val="16"/>
        </w:rPr>
        <w:t xml:space="preserve"> </w:t>
      </w:r>
      <w:r w:rsidRPr="00A92A3E">
        <w:rPr>
          <w:rFonts w:asciiTheme="minorHAnsi" w:hAnsiTheme="minorHAnsi" w:cstheme="minorHAnsi"/>
          <w:sz w:val="16"/>
          <w:szCs w:val="16"/>
        </w:rPr>
        <w:t>de pagamento do</w:t>
      </w:r>
      <w:r w:rsidR="006C6FAF" w:rsidRPr="00A92A3E">
        <w:rPr>
          <w:rFonts w:asciiTheme="minorHAnsi" w:hAnsiTheme="minorHAnsi" w:cstheme="minorHAnsi"/>
          <w:sz w:val="16"/>
          <w:szCs w:val="16"/>
        </w:rPr>
        <w:t xml:space="preserve">s segurados </w:t>
      </w:r>
      <w:r w:rsidR="00053CAA" w:rsidRPr="00A92A3E">
        <w:rPr>
          <w:rFonts w:asciiTheme="minorHAnsi" w:hAnsiTheme="minorHAnsi" w:cstheme="minorHAnsi"/>
          <w:sz w:val="16"/>
          <w:szCs w:val="16"/>
        </w:rPr>
        <w:t xml:space="preserve">ativos e/ou beneficiários </w:t>
      </w:r>
      <w:r w:rsidRPr="00A92A3E">
        <w:rPr>
          <w:rFonts w:asciiTheme="minorHAnsi" w:hAnsiTheme="minorHAnsi" w:cstheme="minorHAnsi"/>
          <w:sz w:val="16"/>
          <w:szCs w:val="16"/>
        </w:rPr>
        <w:t xml:space="preserve">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xml:space="preserve">, nas modalidades: </w:t>
      </w:r>
      <w:r w:rsidRPr="00A92A3E">
        <w:rPr>
          <w:rFonts w:asciiTheme="minorHAnsi" w:hAnsiTheme="minorHAnsi" w:cstheme="minorHAnsi"/>
          <w:b/>
          <w:bCs/>
          <w:sz w:val="16"/>
          <w:szCs w:val="16"/>
        </w:rPr>
        <w:t>empréstimos simples, renegociação ou repactuação extraordinária</w:t>
      </w:r>
      <w:r w:rsidRPr="00A92A3E">
        <w:rPr>
          <w:rFonts w:asciiTheme="minorHAnsi" w:hAnsiTheme="minorHAnsi" w:cstheme="minorHAnsi"/>
          <w:sz w:val="16"/>
          <w:szCs w:val="16"/>
        </w:rPr>
        <w:t>.</w:t>
      </w:r>
    </w:p>
    <w:p w14:paraId="4B9E5732" w14:textId="77777777" w:rsidR="00CB4115" w:rsidRPr="00A92A3E" w:rsidRDefault="00AB5237" w:rsidP="00F5523C">
      <w:pPr>
        <w:pStyle w:val="PargrafodaLista"/>
        <w:numPr>
          <w:ilvl w:val="0"/>
          <w:numId w:val="21"/>
        </w:numPr>
        <w:rPr>
          <w:rFonts w:asciiTheme="minorHAnsi" w:hAnsiTheme="minorHAnsi" w:cstheme="minorHAnsi"/>
          <w:sz w:val="16"/>
          <w:szCs w:val="16"/>
        </w:rPr>
      </w:pPr>
      <w:r w:rsidRPr="00A92A3E">
        <w:rPr>
          <w:rFonts w:asciiTheme="minorHAnsi" w:hAnsiTheme="minorHAnsi" w:cstheme="minorHAnsi"/>
          <w:b/>
          <w:bCs/>
          <w:sz w:val="16"/>
          <w:szCs w:val="16"/>
        </w:rPr>
        <w:t>Empréstimo Simples</w:t>
      </w:r>
      <w:r w:rsidR="00AE56DC" w:rsidRPr="00A92A3E">
        <w:rPr>
          <w:rFonts w:asciiTheme="minorHAnsi" w:hAnsiTheme="minorHAnsi" w:cstheme="minorHAnsi"/>
          <w:b/>
          <w:bCs/>
          <w:sz w:val="16"/>
          <w:szCs w:val="16"/>
        </w:rPr>
        <w:t>:</w:t>
      </w:r>
      <w:r w:rsidRPr="00A92A3E">
        <w:rPr>
          <w:rFonts w:asciiTheme="minorHAnsi" w:hAnsiTheme="minorHAnsi" w:cstheme="minorHAnsi"/>
          <w:sz w:val="16"/>
          <w:szCs w:val="16"/>
        </w:rPr>
        <w:t xml:space="preserve"> </w:t>
      </w:r>
      <w:r w:rsidR="00890EBA" w:rsidRPr="00A92A3E">
        <w:rPr>
          <w:rFonts w:asciiTheme="minorHAnsi" w:hAnsiTheme="minorHAnsi" w:cstheme="minorHAnsi"/>
          <w:sz w:val="16"/>
          <w:szCs w:val="16"/>
        </w:rPr>
        <w:t>é a modalidade pela qual as parcelas são descontadas diretamente da folha de pagamento do tomador do empréstimo</w:t>
      </w:r>
      <w:r w:rsidR="00CB4115" w:rsidRPr="00A92A3E">
        <w:rPr>
          <w:rFonts w:asciiTheme="minorHAnsi" w:hAnsiTheme="minorHAnsi" w:cstheme="minorHAnsi"/>
          <w:sz w:val="16"/>
          <w:szCs w:val="16"/>
        </w:rPr>
        <w:t>;</w:t>
      </w:r>
    </w:p>
    <w:p w14:paraId="2361F24F" w14:textId="77777777" w:rsidR="00CB4115" w:rsidRPr="00A92A3E" w:rsidRDefault="00CB4115" w:rsidP="00CB4115">
      <w:pPr>
        <w:pStyle w:val="PargrafodaLista"/>
        <w:rPr>
          <w:rFonts w:asciiTheme="minorHAnsi" w:hAnsiTheme="minorHAnsi" w:cstheme="minorHAnsi"/>
          <w:sz w:val="16"/>
          <w:szCs w:val="16"/>
        </w:rPr>
      </w:pPr>
    </w:p>
    <w:p w14:paraId="52BB59E8" w14:textId="77777777" w:rsidR="001C6BAE" w:rsidRPr="00A92A3E" w:rsidRDefault="00AB5237" w:rsidP="00F5523C">
      <w:pPr>
        <w:pStyle w:val="PargrafodaLista"/>
        <w:numPr>
          <w:ilvl w:val="0"/>
          <w:numId w:val="21"/>
        </w:numPr>
        <w:rPr>
          <w:rFonts w:asciiTheme="minorHAnsi" w:hAnsiTheme="minorHAnsi" w:cstheme="minorHAnsi"/>
          <w:sz w:val="16"/>
          <w:szCs w:val="16"/>
        </w:rPr>
      </w:pPr>
      <w:r w:rsidRPr="00A92A3E">
        <w:rPr>
          <w:rFonts w:asciiTheme="minorHAnsi" w:hAnsiTheme="minorHAnsi" w:cstheme="minorHAnsi"/>
          <w:b/>
          <w:bCs/>
          <w:sz w:val="16"/>
          <w:szCs w:val="16"/>
        </w:rPr>
        <w:t>Renegociação</w:t>
      </w:r>
      <w:r w:rsidR="00495C51" w:rsidRPr="00A92A3E">
        <w:rPr>
          <w:rFonts w:asciiTheme="minorHAnsi" w:hAnsiTheme="minorHAnsi" w:cstheme="minorHAnsi"/>
          <w:b/>
          <w:bCs/>
          <w:sz w:val="16"/>
          <w:szCs w:val="16"/>
        </w:rPr>
        <w:t>:</w:t>
      </w:r>
      <w:r w:rsidRPr="00A92A3E">
        <w:rPr>
          <w:rFonts w:asciiTheme="minorHAnsi" w:hAnsiTheme="minorHAnsi" w:cstheme="minorHAnsi"/>
          <w:sz w:val="16"/>
          <w:szCs w:val="16"/>
        </w:rPr>
        <w:t xml:space="preserve"> </w:t>
      </w:r>
      <w:r w:rsidR="008111E8" w:rsidRPr="00A92A3E">
        <w:rPr>
          <w:rFonts w:asciiTheme="minorHAnsi" w:hAnsiTheme="minorHAnsi" w:cstheme="minorHAnsi"/>
          <w:sz w:val="16"/>
          <w:szCs w:val="16"/>
        </w:rPr>
        <w:t xml:space="preserve">é a modalidade disponível para os tomadores </w:t>
      </w:r>
      <w:r w:rsidR="00C35DAB" w:rsidRPr="00A92A3E">
        <w:rPr>
          <w:rFonts w:asciiTheme="minorHAnsi" w:hAnsiTheme="minorHAnsi" w:cstheme="minorHAnsi"/>
          <w:sz w:val="16"/>
          <w:szCs w:val="16"/>
        </w:rPr>
        <w:t xml:space="preserve">que </w:t>
      </w:r>
      <w:r w:rsidR="008111E8" w:rsidRPr="00A92A3E">
        <w:rPr>
          <w:rFonts w:asciiTheme="minorHAnsi" w:hAnsiTheme="minorHAnsi" w:cstheme="minorHAnsi"/>
          <w:sz w:val="16"/>
          <w:szCs w:val="16"/>
        </w:rPr>
        <w:t xml:space="preserve">desejam modificar as condições do contrato original. Essa modalidade permite ao </w:t>
      </w:r>
      <w:r w:rsidR="000A5029" w:rsidRPr="00A92A3E">
        <w:rPr>
          <w:rFonts w:asciiTheme="minorHAnsi" w:hAnsiTheme="minorHAnsi" w:cstheme="minorHAnsi"/>
          <w:sz w:val="16"/>
          <w:szCs w:val="16"/>
        </w:rPr>
        <w:t>tomador</w:t>
      </w:r>
      <w:r w:rsidR="008111E8" w:rsidRPr="00A92A3E">
        <w:rPr>
          <w:rFonts w:asciiTheme="minorHAnsi" w:hAnsiTheme="minorHAnsi" w:cstheme="minorHAnsi"/>
          <w:sz w:val="16"/>
          <w:szCs w:val="16"/>
        </w:rPr>
        <w:t xml:space="preserve"> renegociar as condições de pagamento, tais como prazo, valor das parcelas e taxa de juros, a fim de ajustá-las à sua situação financeira atual</w:t>
      </w:r>
      <w:r w:rsidR="001C6BAE" w:rsidRPr="00A92A3E">
        <w:rPr>
          <w:rFonts w:asciiTheme="minorHAnsi" w:hAnsiTheme="minorHAnsi" w:cstheme="minorHAnsi"/>
          <w:sz w:val="16"/>
          <w:szCs w:val="16"/>
        </w:rPr>
        <w:t>;</w:t>
      </w:r>
    </w:p>
    <w:p w14:paraId="7874FE0F" w14:textId="77777777" w:rsidR="001C6BAE" w:rsidRPr="00A92A3E" w:rsidRDefault="001C6BAE" w:rsidP="001C6BAE">
      <w:pPr>
        <w:pStyle w:val="PargrafodaLista"/>
        <w:rPr>
          <w:rFonts w:asciiTheme="minorHAnsi" w:hAnsiTheme="minorHAnsi" w:cstheme="minorHAnsi"/>
          <w:sz w:val="16"/>
          <w:szCs w:val="16"/>
        </w:rPr>
      </w:pPr>
    </w:p>
    <w:p w14:paraId="07374BD0" w14:textId="1AC437AC" w:rsidR="00635488" w:rsidRPr="0072415A" w:rsidRDefault="00AB5237" w:rsidP="00184B6A">
      <w:pPr>
        <w:pStyle w:val="PargrafodaLista"/>
        <w:numPr>
          <w:ilvl w:val="0"/>
          <w:numId w:val="21"/>
        </w:numPr>
        <w:rPr>
          <w:rFonts w:asciiTheme="minorHAnsi" w:hAnsiTheme="minorHAnsi" w:cstheme="minorHAnsi"/>
          <w:sz w:val="16"/>
          <w:szCs w:val="16"/>
        </w:rPr>
      </w:pPr>
      <w:r w:rsidRPr="0072415A">
        <w:rPr>
          <w:rFonts w:asciiTheme="minorHAnsi" w:hAnsiTheme="minorHAnsi" w:cstheme="minorHAnsi"/>
          <w:b/>
          <w:bCs/>
          <w:sz w:val="16"/>
          <w:szCs w:val="16"/>
        </w:rPr>
        <w:t>Repactuação Extraordinária</w:t>
      </w:r>
      <w:r w:rsidR="001C6BAE" w:rsidRPr="0072415A">
        <w:rPr>
          <w:rFonts w:asciiTheme="minorHAnsi" w:hAnsiTheme="minorHAnsi" w:cstheme="minorHAnsi"/>
          <w:b/>
          <w:bCs/>
          <w:sz w:val="16"/>
          <w:szCs w:val="16"/>
        </w:rPr>
        <w:t>:</w:t>
      </w:r>
      <w:r w:rsidR="003379F3" w:rsidRPr="0072415A">
        <w:rPr>
          <w:rFonts w:asciiTheme="minorHAnsi" w:hAnsiTheme="minorHAnsi" w:cstheme="minorHAnsi"/>
          <w:sz w:val="16"/>
          <w:szCs w:val="16"/>
        </w:rPr>
        <w:t xml:space="preserve"> é a modalidade </w:t>
      </w:r>
      <w:r w:rsidR="00D562AE" w:rsidRPr="0072415A">
        <w:rPr>
          <w:rFonts w:asciiTheme="minorHAnsi" w:hAnsiTheme="minorHAnsi" w:cstheme="minorHAnsi"/>
          <w:sz w:val="16"/>
          <w:szCs w:val="16"/>
        </w:rPr>
        <w:t>que permite aos tomadores de empréstimos consignados renegociarem suas dívidas em casos excepcionais e específicos.</w:t>
      </w:r>
    </w:p>
    <w:p w14:paraId="30F47AF8" w14:textId="1A6E3140" w:rsidR="00ED755D" w:rsidRPr="00A92A3E" w:rsidRDefault="004F4B44" w:rsidP="00ED755D">
      <w:pPr>
        <w:pStyle w:val="Ttulo2"/>
        <w:rPr>
          <w:rFonts w:asciiTheme="minorHAnsi" w:hAnsiTheme="minorHAnsi" w:cstheme="minorHAnsi"/>
          <w:sz w:val="16"/>
          <w:szCs w:val="16"/>
        </w:rPr>
      </w:pPr>
      <w:r w:rsidRPr="00A92A3E">
        <w:rPr>
          <w:rFonts w:asciiTheme="minorHAnsi" w:hAnsiTheme="minorHAnsi" w:cstheme="minorHAnsi"/>
          <w:sz w:val="16"/>
          <w:szCs w:val="16"/>
        </w:rPr>
        <w:t>Elegibilidade aos Empréstimos</w:t>
      </w:r>
    </w:p>
    <w:p w14:paraId="7CFCF693" w14:textId="6E42CD0E" w:rsidR="0038241A" w:rsidRPr="00A92A3E" w:rsidRDefault="0095770D" w:rsidP="00201E77">
      <w:pPr>
        <w:rPr>
          <w:rFonts w:asciiTheme="minorHAnsi" w:hAnsiTheme="minorHAnsi" w:cstheme="minorHAnsi"/>
          <w:sz w:val="16"/>
          <w:szCs w:val="16"/>
        </w:rPr>
      </w:pPr>
      <w:r w:rsidRPr="00A92A3E">
        <w:rPr>
          <w:rFonts w:asciiTheme="minorHAnsi" w:hAnsiTheme="minorHAnsi" w:cstheme="minorHAnsi"/>
          <w:sz w:val="16"/>
          <w:szCs w:val="16"/>
        </w:rPr>
        <w:t>Pode</w:t>
      </w:r>
      <w:r w:rsidR="0083738B" w:rsidRPr="00A92A3E">
        <w:rPr>
          <w:rFonts w:asciiTheme="minorHAnsi" w:hAnsiTheme="minorHAnsi" w:cstheme="minorHAnsi"/>
          <w:sz w:val="16"/>
          <w:szCs w:val="16"/>
        </w:rPr>
        <w:t>rão</w:t>
      </w:r>
      <w:r w:rsidRPr="00A92A3E">
        <w:rPr>
          <w:rFonts w:asciiTheme="minorHAnsi" w:hAnsiTheme="minorHAnsi" w:cstheme="minorHAnsi"/>
          <w:sz w:val="16"/>
          <w:szCs w:val="16"/>
        </w:rPr>
        <w:t xml:space="preserve"> contratar empréstimo </w:t>
      </w:r>
      <w:r w:rsidR="0083738B" w:rsidRPr="00A92A3E">
        <w:rPr>
          <w:rFonts w:asciiTheme="minorHAnsi" w:hAnsiTheme="minorHAnsi" w:cstheme="minorHAnsi"/>
          <w:sz w:val="16"/>
          <w:szCs w:val="16"/>
        </w:rPr>
        <w:t xml:space="preserve">consignado </w:t>
      </w:r>
      <w:r w:rsidRPr="00A92A3E">
        <w:rPr>
          <w:rFonts w:asciiTheme="minorHAnsi" w:hAnsiTheme="minorHAnsi" w:cstheme="minorHAnsi"/>
          <w:sz w:val="16"/>
          <w:szCs w:val="16"/>
        </w:rPr>
        <w:t>junto ao</w:t>
      </w:r>
      <w:r w:rsidR="0083738B" w:rsidRPr="00A92A3E">
        <w:rPr>
          <w:rFonts w:asciiTheme="minorHAnsi" w:hAnsiTheme="minorHAnsi" w:cstheme="minorHAnsi"/>
          <w:sz w:val="16"/>
          <w:szCs w:val="16"/>
        </w:rPr>
        <w:t xml:space="preserve">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xml:space="preserve">, os </w:t>
      </w:r>
      <w:r w:rsidR="00396C24" w:rsidRPr="00A92A3E">
        <w:rPr>
          <w:rFonts w:asciiTheme="minorHAnsi" w:hAnsiTheme="minorHAnsi" w:cstheme="minorHAnsi"/>
          <w:sz w:val="16"/>
          <w:szCs w:val="16"/>
        </w:rPr>
        <w:t>servidores a</w:t>
      </w:r>
      <w:r w:rsidRPr="00A92A3E">
        <w:rPr>
          <w:rFonts w:asciiTheme="minorHAnsi" w:hAnsiTheme="minorHAnsi" w:cstheme="minorHAnsi"/>
          <w:sz w:val="16"/>
          <w:szCs w:val="16"/>
        </w:rPr>
        <w:t xml:space="preserve">tivos, </w:t>
      </w:r>
      <w:r w:rsidR="00396C24" w:rsidRPr="00A92A3E">
        <w:rPr>
          <w:rFonts w:asciiTheme="minorHAnsi" w:hAnsiTheme="minorHAnsi" w:cstheme="minorHAnsi"/>
          <w:sz w:val="16"/>
          <w:szCs w:val="16"/>
        </w:rPr>
        <w:t xml:space="preserve">aposentados e pensionistas </w:t>
      </w:r>
      <w:r w:rsidRPr="00A92A3E">
        <w:rPr>
          <w:rFonts w:asciiTheme="minorHAnsi" w:hAnsiTheme="minorHAnsi" w:cstheme="minorHAnsi"/>
          <w:sz w:val="16"/>
          <w:szCs w:val="16"/>
        </w:rPr>
        <w:t>dos planos de benefícios do</w:t>
      </w:r>
      <w:r w:rsidR="0038241A" w:rsidRPr="00A92A3E">
        <w:rPr>
          <w:rFonts w:asciiTheme="minorHAnsi" w:hAnsiTheme="minorHAnsi" w:cstheme="minorHAnsi"/>
          <w:sz w:val="16"/>
          <w:szCs w:val="16"/>
        </w:rPr>
        <w:t xml:space="preserve"> próprio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sz w:val="16"/>
          <w:szCs w:val="16"/>
        </w:rPr>
        <w:t xml:space="preserve"> </w:t>
      </w:r>
      <w:r w:rsidR="000A5FDB" w:rsidRPr="00A92A3E">
        <w:rPr>
          <w:rFonts w:asciiTheme="minorHAnsi" w:hAnsiTheme="minorHAnsi" w:cstheme="minorHAnsi"/>
          <w:sz w:val="16"/>
          <w:szCs w:val="16"/>
        </w:rPr>
        <w:t>(“tomador”)</w:t>
      </w:r>
      <w:r w:rsidR="00D965D4" w:rsidRPr="00A92A3E">
        <w:rPr>
          <w:rFonts w:asciiTheme="minorHAnsi" w:hAnsiTheme="minorHAnsi" w:cstheme="minorHAnsi"/>
          <w:sz w:val="16"/>
          <w:szCs w:val="16"/>
        </w:rPr>
        <w:t xml:space="preserve"> </w:t>
      </w:r>
      <w:r w:rsidR="00352B3F" w:rsidRPr="00A92A3E">
        <w:rPr>
          <w:rFonts w:asciiTheme="minorHAnsi" w:hAnsiTheme="minorHAnsi" w:cstheme="minorHAnsi"/>
          <w:sz w:val="16"/>
          <w:szCs w:val="16"/>
        </w:rPr>
        <w:t>a partir das características biométricas, funcionais</w:t>
      </w:r>
      <w:r w:rsidR="00053CAA" w:rsidRPr="00A92A3E">
        <w:rPr>
          <w:rFonts w:asciiTheme="minorHAnsi" w:hAnsiTheme="minorHAnsi" w:cstheme="minorHAnsi"/>
          <w:sz w:val="16"/>
          <w:szCs w:val="16"/>
        </w:rPr>
        <w:t>,</w:t>
      </w:r>
      <w:r w:rsidR="00352B3F" w:rsidRPr="00A92A3E">
        <w:rPr>
          <w:rFonts w:asciiTheme="minorHAnsi" w:hAnsiTheme="minorHAnsi" w:cstheme="minorHAnsi"/>
          <w:sz w:val="16"/>
          <w:szCs w:val="16"/>
        </w:rPr>
        <w:t xml:space="preserve"> remuneratórias </w:t>
      </w:r>
      <w:r w:rsidR="00201E77" w:rsidRPr="00A92A3E">
        <w:rPr>
          <w:rFonts w:asciiTheme="minorHAnsi" w:hAnsiTheme="minorHAnsi" w:cstheme="minorHAnsi"/>
          <w:sz w:val="16"/>
          <w:szCs w:val="16"/>
        </w:rPr>
        <w:t>e a natureza dos benefícios, para estabelecer os requisitos e condições para elegibilidade aos empréstimos.</w:t>
      </w:r>
    </w:p>
    <w:p w14:paraId="01AEEDF4" w14:textId="6E495FF6" w:rsidR="00471D4A" w:rsidRPr="00A92A3E" w:rsidRDefault="000A5FDB" w:rsidP="00471D4A">
      <w:pPr>
        <w:rPr>
          <w:rFonts w:asciiTheme="minorHAnsi" w:hAnsiTheme="minorHAnsi" w:cstheme="minorHAnsi"/>
          <w:sz w:val="16"/>
          <w:szCs w:val="16"/>
        </w:rPr>
      </w:pPr>
      <w:r w:rsidRPr="00A92A3E">
        <w:rPr>
          <w:rFonts w:asciiTheme="minorHAnsi" w:hAnsiTheme="minorHAnsi" w:cstheme="minorHAnsi"/>
          <w:sz w:val="16"/>
          <w:szCs w:val="16"/>
        </w:rPr>
        <w:t>O tomador passará</w:t>
      </w:r>
      <w:r w:rsidR="00D81A06" w:rsidRPr="00A92A3E">
        <w:rPr>
          <w:rFonts w:asciiTheme="minorHAnsi" w:hAnsiTheme="minorHAnsi" w:cstheme="minorHAnsi"/>
          <w:sz w:val="16"/>
          <w:szCs w:val="16"/>
        </w:rPr>
        <w:t xml:space="preserve"> por avaliação prévia, onde será estimada a data de sua aposentadoria e as regras de cálculo de futuro benefício</w:t>
      </w:r>
      <w:r w:rsidR="00471D4A" w:rsidRPr="00A92A3E">
        <w:rPr>
          <w:rFonts w:asciiTheme="minorHAnsi" w:hAnsiTheme="minorHAnsi" w:cstheme="minorHAnsi"/>
          <w:sz w:val="16"/>
          <w:szCs w:val="16"/>
        </w:rPr>
        <w:t>. Quanto aos dependentes, somente serão elegíve</w:t>
      </w:r>
      <w:r w:rsidR="00BF5E5B" w:rsidRPr="00A92A3E">
        <w:rPr>
          <w:rFonts w:asciiTheme="minorHAnsi" w:hAnsiTheme="minorHAnsi" w:cstheme="minorHAnsi"/>
          <w:sz w:val="16"/>
          <w:szCs w:val="16"/>
        </w:rPr>
        <w:t xml:space="preserve">is </w:t>
      </w:r>
      <w:r w:rsidR="00471D4A" w:rsidRPr="00A92A3E">
        <w:rPr>
          <w:rFonts w:asciiTheme="minorHAnsi" w:hAnsiTheme="minorHAnsi" w:cstheme="minorHAnsi"/>
          <w:sz w:val="16"/>
          <w:szCs w:val="16"/>
        </w:rPr>
        <w:t>ao</w:t>
      </w:r>
      <w:r w:rsidR="00BF5E5B" w:rsidRPr="00A92A3E">
        <w:rPr>
          <w:rFonts w:asciiTheme="minorHAnsi" w:hAnsiTheme="minorHAnsi" w:cstheme="minorHAnsi"/>
          <w:sz w:val="16"/>
          <w:szCs w:val="16"/>
        </w:rPr>
        <w:t>s</w:t>
      </w:r>
      <w:r w:rsidR="00471D4A" w:rsidRPr="00A92A3E">
        <w:rPr>
          <w:rFonts w:asciiTheme="minorHAnsi" w:hAnsiTheme="minorHAnsi" w:cstheme="minorHAnsi"/>
          <w:sz w:val="16"/>
          <w:szCs w:val="16"/>
        </w:rPr>
        <w:t xml:space="preserve"> empréstimos</w:t>
      </w:r>
      <w:r w:rsidR="00BF5E5B" w:rsidRPr="00A92A3E">
        <w:rPr>
          <w:rFonts w:asciiTheme="minorHAnsi" w:hAnsiTheme="minorHAnsi" w:cstheme="minorHAnsi"/>
          <w:sz w:val="16"/>
          <w:szCs w:val="16"/>
        </w:rPr>
        <w:t xml:space="preserve"> </w:t>
      </w:r>
      <w:r w:rsidR="00471D4A" w:rsidRPr="00A92A3E">
        <w:rPr>
          <w:rFonts w:asciiTheme="minorHAnsi" w:hAnsiTheme="minorHAnsi" w:cstheme="minorHAnsi"/>
          <w:sz w:val="16"/>
          <w:szCs w:val="16"/>
        </w:rPr>
        <w:t>consignados quando estiverem em gozo de pensão por morte</w:t>
      </w:r>
      <w:r w:rsidR="00BF5E5B" w:rsidRPr="00A92A3E">
        <w:rPr>
          <w:rFonts w:asciiTheme="minorHAnsi" w:hAnsiTheme="minorHAnsi" w:cstheme="minorHAnsi"/>
          <w:sz w:val="16"/>
          <w:szCs w:val="16"/>
        </w:rPr>
        <w:t>.</w:t>
      </w:r>
    </w:p>
    <w:p w14:paraId="2D7CE7DB" w14:textId="23EF70E8" w:rsidR="00201E77" w:rsidRPr="00A92A3E" w:rsidRDefault="008C7519" w:rsidP="008C7519">
      <w:pPr>
        <w:rPr>
          <w:rFonts w:asciiTheme="minorHAnsi" w:hAnsiTheme="minorHAnsi" w:cstheme="minorHAnsi"/>
          <w:sz w:val="16"/>
          <w:szCs w:val="16"/>
        </w:rPr>
      </w:pPr>
      <w:r w:rsidRPr="00A92A3E">
        <w:rPr>
          <w:rFonts w:asciiTheme="minorHAnsi" w:hAnsiTheme="minorHAnsi" w:cstheme="minorHAnsi"/>
          <w:sz w:val="16"/>
          <w:szCs w:val="16"/>
        </w:rPr>
        <w:t xml:space="preserve">Não poderão contratar operações de empréstimos os </w:t>
      </w:r>
      <w:r w:rsidR="00A824FE" w:rsidRPr="00A92A3E">
        <w:rPr>
          <w:rFonts w:asciiTheme="minorHAnsi" w:hAnsiTheme="minorHAnsi" w:cstheme="minorHAnsi"/>
          <w:sz w:val="16"/>
          <w:szCs w:val="16"/>
        </w:rPr>
        <w:t xml:space="preserve">tomadores que, </w:t>
      </w:r>
      <w:r w:rsidRPr="00A92A3E">
        <w:rPr>
          <w:rFonts w:asciiTheme="minorHAnsi" w:hAnsiTheme="minorHAnsi" w:cstheme="minorHAnsi"/>
          <w:sz w:val="16"/>
          <w:szCs w:val="16"/>
        </w:rPr>
        <w:t>no momento da solicitação, estejam enquadrados em quaisquer das hipóteses</w:t>
      </w:r>
      <w:r w:rsidR="00A824FE" w:rsidRPr="00A92A3E">
        <w:rPr>
          <w:rFonts w:asciiTheme="minorHAnsi" w:hAnsiTheme="minorHAnsi" w:cstheme="minorHAnsi"/>
          <w:sz w:val="16"/>
          <w:szCs w:val="16"/>
        </w:rPr>
        <w:t xml:space="preserve"> </w:t>
      </w:r>
      <w:r w:rsidRPr="00A92A3E">
        <w:rPr>
          <w:rFonts w:asciiTheme="minorHAnsi" w:hAnsiTheme="minorHAnsi" w:cstheme="minorHAnsi"/>
          <w:sz w:val="16"/>
          <w:szCs w:val="16"/>
        </w:rPr>
        <w:t>a seguir:</w:t>
      </w:r>
    </w:p>
    <w:p w14:paraId="191671B9" w14:textId="450C349C" w:rsidR="00A824FE" w:rsidRPr="00A92A3E" w:rsidRDefault="006A6ED9" w:rsidP="00F5523C">
      <w:pPr>
        <w:pStyle w:val="PargrafodaLista"/>
        <w:numPr>
          <w:ilvl w:val="0"/>
          <w:numId w:val="22"/>
        </w:numPr>
        <w:rPr>
          <w:rFonts w:asciiTheme="minorHAnsi" w:hAnsiTheme="minorHAnsi" w:cstheme="minorHAnsi"/>
          <w:sz w:val="16"/>
          <w:szCs w:val="16"/>
        </w:rPr>
      </w:pPr>
      <w:r w:rsidRPr="00A92A3E">
        <w:rPr>
          <w:rFonts w:asciiTheme="minorHAnsi" w:hAnsiTheme="minorHAnsi" w:cstheme="minorHAnsi"/>
          <w:sz w:val="16"/>
          <w:szCs w:val="16"/>
        </w:rPr>
        <w:t>não tenham disponibilidade de margem consignável para a contratação;</w:t>
      </w:r>
    </w:p>
    <w:p w14:paraId="2CDE1EA3" w14:textId="77777777" w:rsidR="00DE1F95" w:rsidRPr="00A92A3E" w:rsidRDefault="00DE1F95" w:rsidP="00DE1F95">
      <w:pPr>
        <w:pStyle w:val="PargrafodaLista"/>
        <w:rPr>
          <w:rFonts w:asciiTheme="minorHAnsi" w:hAnsiTheme="minorHAnsi" w:cstheme="minorHAnsi"/>
          <w:sz w:val="16"/>
          <w:szCs w:val="16"/>
        </w:rPr>
      </w:pPr>
    </w:p>
    <w:p w14:paraId="5BCA65AD" w14:textId="221F374D" w:rsidR="006A6ED9" w:rsidRPr="00A92A3E" w:rsidRDefault="006A6ED9" w:rsidP="00F5523C">
      <w:pPr>
        <w:pStyle w:val="PargrafodaLista"/>
        <w:numPr>
          <w:ilvl w:val="0"/>
          <w:numId w:val="22"/>
        </w:numPr>
        <w:rPr>
          <w:rFonts w:asciiTheme="minorHAnsi" w:hAnsiTheme="minorHAnsi" w:cstheme="minorHAnsi"/>
          <w:sz w:val="16"/>
          <w:szCs w:val="16"/>
        </w:rPr>
      </w:pPr>
      <w:r w:rsidRPr="00A92A3E">
        <w:rPr>
          <w:rFonts w:asciiTheme="minorHAnsi" w:hAnsiTheme="minorHAnsi" w:cstheme="minorHAnsi"/>
          <w:sz w:val="16"/>
          <w:szCs w:val="16"/>
        </w:rPr>
        <w:t>que tenham causado inadimplência em relação a empréstimos consignados anteriormente tomados perante o RPPS;</w:t>
      </w:r>
    </w:p>
    <w:p w14:paraId="172B3538" w14:textId="77777777" w:rsidR="00DE1F95" w:rsidRPr="00A92A3E" w:rsidRDefault="00DE1F95" w:rsidP="00DE1F95">
      <w:pPr>
        <w:pStyle w:val="PargrafodaLista"/>
        <w:rPr>
          <w:rFonts w:asciiTheme="minorHAnsi" w:hAnsiTheme="minorHAnsi" w:cstheme="minorHAnsi"/>
          <w:sz w:val="16"/>
          <w:szCs w:val="16"/>
        </w:rPr>
      </w:pPr>
    </w:p>
    <w:p w14:paraId="6D4DABF8" w14:textId="604A22F0" w:rsidR="006A6ED9" w:rsidRPr="00A92A3E" w:rsidRDefault="00DA17A3" w:rsidP="00F5523C">
      <w:pPr>
        <w:pStyle w:val="PargrafodaLista"/>
        <w:numPr>
          <w:ilvl w:val="0"/>
          <w:numId w:val="22"/>
        </w:numPr>
        <w:rPr>
          <w:rFonts w:asciiTheme="minorHAnsi" w:hAnsiTheme="minorHAnsi" w:cstheme="minorHAnsi"/>
          <w:sz w:val="16"/>
          <w:szCs w:val="16"/>
        </w:rPr>
      </w:pPr>
      <w:r w:rsidRPr="00A92A3E">
        <w:rPr>
          <w:rFonts w:asciiTheme="minorHAnsi" w:hAnsiTheme="minorHAnsi" w:cstheme="minorHAnsi"/>
          <w:sz w:val="16"/>
          <w:szCs w:val="16"/>
        </w:rPr>
        <w:t>tenham perdido o vínculo com o Ente Federativo ou de cessado o benefício; e</w:t>
      </w:r>
    </w:p>
    <w:p w14:paraId="381EC180" w14:textId="77777777" w:rsidR="00DE1F95" w:rsidRPr="00A92A3E" w:rsidRDefault="00DE1F95" w:rsidP="00DE1F95">
      <w:pPr>
        <w:pStyle w:val="PargrafodaLista"/>
        <w:rPr>
          <w:rFonts w:asciiTheme="minorHAnsi" w:hAnsiTheme="minorHAnsi" w:cstheme="minorHAnsi"/>
          <w:sz w:val="16"/>
          <w:szCs w:val="16"/>
        </w:rPr>
      </w:pPr>
    </w:p>
    <w:p w14:paraId="24385E0F" w14:textId="69E7FB38" w:rsidR="00DA17A3" w:rsidRPr="00A92A3E" w:rsidRDefault="0029631A" w:rsidP="00F5523C">
      <w:pPr>
        <w:pStyle w:val="PargrafodaLista"/>
        <w:numPr>
          <w:ilvl w:val="0"/>
          <w:numId w:val="22"/>
        </w:numPr>
        <w:rPr>
          <w:rFonts w:asciiTheme="minorHAnsi" w:hAnsiTheme="minorHAnsi" w:cstheme="minorHAnsi"/>
          <w:sz w:val="16"/>
          <w:szCs w:val="16"/>
        </w:rPr>
      </w:pPr>
      <w:r w:rsidRPr="00A92A3E">
        <w:rPr>
          <w:rFonts w:asciiTheme="minorHAnsi" w:hAnsiTheme="minorHAnsi" w:cstheme="minorHAnsi"/>
          <w:sz w:val="16"/>
          <w:szCs w:val="16"/>
        </w:rPr>
        <w:t>aos tomadores</w:t>
      </w:r>
      <w:r w:rsidR="006325FF"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que a </w:t>
      </w:r>
      <w:r w:rsidR="006325FF" w:rsidRPr="00A92A3E">
        <w:rPr>
          <w:rFonts w:asciiTheme="minorHAnsi" w:hAnsiTheme="minorHAnsi" w:cstheme="minorHAnsi"/>
          <w:sz w:val="16"/>
          <w:szCs w:val="16"/>
        </w:rPr>
        <w:t>situações em que o pagamento de sua remuneração ou provento seja de responsabilidade do Ente Federativo ou que dependa de suas transferências financeiras mensais</w:t>
      </w:r>
      <w:r w:rsidR="00E76DFA" w:rsidRPr="00A92A3E">
        <w:rPr>
          <w:rFonts w:asciiTheme="minorHAnsi" w:hAnsiTheme="minorHAnsi" w:cstheme="minorHAnsi"/>
          <w:sz w:val="16"/>
          <w:szCs w:val="16"/>
        </w:rPr>
        <w:t>, c</w:t>
      </w:r>
      <w:r w:rsidR="006325FF" w:rsidRPr="00A92A3E">
        <w:rPr>
          <w:rFonts w:asciiTheme="minorHAnsi" w:hAnsiTheme="minorHAnsi" w:cstheme="minorHAnsi"/>
          <w:sz w:val="16"/>
          <w:szCs w:val="16"/>
        </w:rPr>
        <w:t xml:space="preserve">aso </w:t>
      </w:r>
      <w:r w:rsidR="00236557" w:rsidRPr="00A92A3E">
        <w:rPr>
          <w:rFonts w:asciiTheme="minorHAnsi" w:hAnsiTheme="minorHAnsi" w:cstheme="minorHAnsi"/>
          <w:sz w:val="16"/>
          <w:szCs w:val="16"/>
        </w:rPr>
        <w:t>o Município</w:t>
      </w:r>
      <w:r w:rsidR="006325FF" w:rsidRPr="00A92A3E">
        <w:rPr>
          <w:rFonts w:asciiTheme="minorHAnsi" w:hAnsiTheme="minorHAnsi" w:cstheme="minorHAnsi"/>
          <w:sz w:val="16"/>
          <w:szCs w:val="16"/>
        </w:rPr>
        <w:t xml:space="preserve">, não </w:t>
      </w:r>
      <w:r w:rsidR="00627AA9" w:rsidRPr="00A92A3E">
        <w:rPr>
          <w:rFonts w:asciiTheme="minorHAnsi" w:hAnsiTheme="minorHAnsi" w:cstheme="minorHAnsi"/>
          <w:sz w:val="16"/>
          <w:szCs w:val="16"/>
        </w:rPr>
        <w:t>seja</w:t>
      </w:r>
      <w:r w:rsidR="00236557" w:rsidRPr="00A92A3E">
        <w:rPr>
          <w:rFonts w:asciiTheme="minorHAnsi" w:hAnsiTheme="minorHAnsi" w:cstheme="minorHAnsi"/>
          <w:sz w:val="16"/>
          <w:szCs w:val="16"/>
        </w:rPr>
        <w:t xml:space="preserve"> </w:t>
      </w:r>
      <w:r w:rsidR="006325FF" w:rsidRPr="00A92A3E">
        <w:rPr>
          <w:rFonts w:asciiTheme="minorHAnsi" w:hAnsiTheme="minorHAnsi" w:cstheme="minorHAnsi"/>
          <w:sz w:val="16"/>
          <w:szCs w:val="16"/>
        </w:rPr>
        <w:t>classifica</w:t>
      </w:r>
      <w:r w:rsidR="00236557" w:rsidRPr="00A92A3E">
        <w:rPr>
          <w:rFonts w:asciiTheme="minorHAnsi" w:hAnsiTheme="minorHAnsi" w:cstheme="minorHAnsi"/>
          <w:sz w:val="16"/>
          <w:szCs w:val="16"/>
        </w:rPr>
        <w:t>do com</w:t>
      </w:r>
      <w:r w:rsidR="00627AA9" w:rsidRPr="00A92A3E">
        <w:rPr>
          <w:rFonts w:asciiTheme="minorHAnsi" w:hAnsiTheme="minorHAnsi" w:cstheme="minorHAnsi"/>
          <w:sz w:val="16"/>
          <w:szCs w:val="16"/>
        </w:rPr>
        <w:t>o</w:t>
      </w:r>
      <w:r w:rsidR="006325FF" w:rsidRPr="00A92A3E">
        <w:rPr>
          <w:rFonts w:asciiTheme="minorHAnsi" w:hAnsiTheme="minorHAnsi" w:cstheme="minorHAnsi"/>
          <w:sz w:val="16"/>
          <w:szCs w:val="16"/>
        </w:rPr>
        <w:t xml:space="preserve"> </w:t>
      </w:r>
      <w:r w:rsidR="006325FF" w:rsidRPr="00A92A3E">
        <w:rPr>
          <w:rFonts w:asciiTheme="minorHAnsi" w:hAnsiTheme="minorHAnsi" w:cstheme="minorHAnsi"/>
          <w:b/>
          <w:bCs/>
          <w:sz w:val="16"/>
          <w:szCs w:val="16"/>
        </w:rPr>
        <w:t>“A”</w:t>
      </w:r>
      <w:r w:rsidR="00627AA9" w:rsidRPr="00A92A3E">
        <w:rPr>
          <w:rFonts w:asciiTheme="minorHAnsi" w:hAnsiTheme="minorHAnsi" w:cstheme="minorHAnsi"/>
          <w:sz w:val="16"/>
          <w:szCs w:val="16"/>
        </w:rPr>
        <w:t>,</w:t>
      </w:r>
      <w:r w:rsidR="006325FF" w:rsidRPr="00A92A3E">
        <w:rPr>
          <w:rFonts w:asciiTheme="minorHAnsi" w:hAnsiTheme="minorHAnsi" w:cstheme="minorHAnsi"/>
          <w:sz w:val="16"/>
          <w:szCs w:val="16"/>
        </w:rPr>
        <w:t xml:space="preserve"> relativa à Capacidade de</w:t>
      </w:r>
      <w:r w:rsidR="00236557" w:rsidRPr="00A92A3E">
        <w:rPr>
          <w:rFonts w:asciiTheme="minorHAnsi" w:hAnsiTheme="minorHAnsi" w:cstheme="minorHAnsi"/>
          <w:sz w:val="16"/>
          <w:szCs w:val="16"/>
        </w:rPr>
        <w:t xml:space="preserve"> </w:t>
      </w:r>
      <w:r w:rsidR="006325FF" w:rsidRPr="00A92A3E">
        <w:rPr>
          <w:rFonts w:asciiTheme="minorHAnsi" w:hAnsiTheme="minorHAnsi" w:cstheme="minorHAnsi"/>
          <w:sz w:val="16"/>
          <w:szCs w:val="16"/>
        </w:rPr>
        <w:t>Pagamento - CAPAG divulgada pela Secretaria do Tesouro Nacional - STN.</w:t>
      </w:r>
    </w:p>
    <w:p w14:paraId="6259616C" w14:textId="002D9FA4" w:rsidR="00A32C17" w:rsidRPr="00A92A3E" w:rsidRDefault="00E568DC" w:rsidP="00E568DC">
      <w:pPr>
        <w:rPr>
          <w:rFonts w:asciiTheme="minorHAnsi" w:hAnsiTheme="minorHAnsi" w:cstheme="minorHAnsi"/>
          <w:sz w:val="16"/>
          <w:szCs w:val="16"/>
        </w:rPr>
      </w:pPr>
      <w:r w:rsidRPr="00A92A3E">
        <w:rPr>
          <w:rFonts w:asciiTheme="minorHAnsi" w:hAnsiTheme="minorHAnsi" w:cstheme="minorHAnsi"/>
          <w:sz w:val="16"/>
          <w:szCs w:val="16"/>
        </w:rPr>
        <w:t>Caso o Município possuir a classificação da CAPAG “B”, “C” e “D” os empréstimos somente poderão ser concedidos aos aposentados e pensionistas vinculados ao</w:t>
      </w:r>
      <w:r w:rsidR="00E76DFA" w:rsidRPr="00A92A3E">
        <w:rPr>
          <w:rFonts w:asciiTheme="minorHAnsi" w:hAnsiTheme="minorHAnsi" w:cstheme="minorHAnsi"/>
          <w:sz w:val="16"/>
          <w:szCs w:val="16"/>
        </w:rPr>
        <w:t xml:space="preserve"> </w:t>
      </w:r>
      <w:r w:rsidR="00B53180">
        <w:rPr>
          <w:rStyle w:val="paragrafo"/>
          <w:rFonts w:asciiTheme="minorHAnsi" w:hAnsiTheme="minorHAnsi" w:cstheme="minorHAnsi"/>
          <w:b/>
          <w:bCs/>
          <w:sz w:val="16"/>
          <w:szCs w:val="16"/>
        </w:rPr>
        <w:t>FUNDO ESPECIAL DE PREVIDÊNCIA SOCIAL DE JAGUARIÚNA</w:t>
      </w:r>
      <w:r w:rsidR="00A32C17" w:rsidRPr="00A92A3E">
        <w:rPr>
          <w:rFonts w:asciiTheme="minorHAnsi" w:hAnsiTheme="minorHAnsi" w:cstheme="minorHAnsi"/>
          <w:sz w:val="16"/>
          <w:szCs w:val="16"/>
        </w:rPr>
        <w:t>.</w:t>
      </w:r>
    </w:p>
    <w:p w14:paraId="3297550D" w14:textId="22B6F486" w:rsidR="00635488" w:rsidRPr="00A92A3E" w:rsidRDefault="00F9120E" w:rsidP="00E568DC">
      <w:pPr>
        <w:rPr>
          <w:rFonts w:asciiTheme="minorHAnsi" w:hAnsiTheme="minorHAnsi" w:cstheme="minorHAnsi"/>
          <w:sz w:val="16"/>
          <w:szCs w:val="16"/>
        </w:rPr>
      </w:pPr>
      <w:r w:rsidRPr="00A92A3E">
        <w:rPr>
          <w:rFonts w:asciiTheme="minorHAnsi" w:hAnsiTheme="minorHAnsi" w:cstheme="minorHAnsi"/>
          <w:sz w:val="16"/>
          <w:szCs w:val="16"/>
        </w:rPr>
        <w:t>C</w:t>
      </w:r>
      <w:r w:rsidR="00A32C17" w:rsidRPr="00A92A3E">
        <w:rPr>
          <w:rFonts w:asciiTheme="minorHAnsi" w:hAnsiTheme="minorHAnsi" w:cstheme="minorHAnsi"/>
          <w:sz w:val="16"/>
          <w:szCs w:val="16"/>
        </w:rPr>
        <w:t xml:space="preserve">aso </w:t>
      </w:r>
      <w:r w:rsidR="00271D30" w:rsidRPr="00A92A3E">
        <w:rPr>
          <w:rFonts w:asciiTheme="minorHAnsi" w:hAnsiTheme="minorHAnsi" w:cstheme="minorHAnsi"/>
          <w:sz w:val="16"/>
          <w:szCs w:val="16"/>
        </w:rPr>
        <w:t xml:space="preserve">o </w:t>
      </w:r>
      <w:r w:rsidR="00B53180">
        <w:rPr>
          <w:rStyle w:val="paragrafo"/>
          <w:rFonts w:asciiTheme="minorHAnsi" w:hAnsiTheme="minorHAnsi" w:cstheme="minorHAnsi"/>
          <w:b/>
          <w:bCs/>
          <w:sz w:val="16"/>
          <w:szCs w:val="16"/>
        </w:rPr>
        <w:t>FUNDO ESPECIAL DE PREVIDÊNCIA SOCIAL DE JAGUARIÚNA</w:t>
      </w:r>
      <w:r w:rsidR="005C53E2" w:rsidRPr="00A92A3E">
        <w:rPr>
          <w:rFonts w:asciiTheme="minorHAnsi" w:hAnsiTheme="minorHAnsi" w:cstheme="minorHAnsi"/>
          <w:b/>
          <w:bCs/>
          <w:color w:val="FF0000"/>
          <w:sz w:val="16"/>
          <w:szCs w:val="16"/>
        </w:rPr>
        <w:t xml:space="preserve"> </w:t>
      </w:r>
      <w:r w:rsidR="00271D30" w:rsidRPr="0072415A">
        <w:rPr>
          <w:rFonts w:asciiTheme="minorHAnsi" w:hAnsiTheme="minorHAnsi" w:cstheme="minorHAnsi"/>
          <w:b/>
          <w:bCs/>
          <w:color w:val="000000" w:themeColor="text1"/>
          <w:sz w:val="16"/>
          <w:szCs w:val="16"/>
        </w:rPr>
        <w:t>opte</w:t>
      </w:r>
      <w:r w:rsidR="00271D30" w:rsidRPr="00A92A3E">
        <w:rPr>
          <w:rFonts w:asciiTheme="minorHAnsi" w:hAnsiTheme="minorHAnsi" w:cstheme="minorHAnsi"/>
          <w:sz w:val="16"/>
          <w:szCs w:val="16"/>
        </w:rPr>
        <w:t xml:space="preserve"> </w:t>
      </w:r>
      <w:r w:rsidR="00773CF6">
        <w:rPr>
          <w:rFonts w:asciiTheme="minorHAnsi" w:hAnsiTheme="minorHAnsi" w:cstheme="minorHAnsi"/>
          <w:sz w:val="16"/>
          <w:szCs w:val="16"/>
        </w:rPr>
        <w:t xml:space="preserve">por </w:t>
      </w:r>
      <w:r w:rsidR="00271D30" w:rsidRPr="00A92A3E">
        <w:rPr>
          <w:rFonts w:asciiTheme="minorHAnsi" w:hAnsiTheme="minorHAnsi" w:cstheme="minorHAnsi"/>
          <w:sz w:val="16"/>
          <w:szCs w:val="16"/>
        </w:rPr>
        <w:t>S</w:t>
      </w:r>
      <w:r w:rsidR="00E568DC" w:rsidRPr="00A92A3E">
        <w:rPr>
          <w:rFonts w:asciiTheme="minorHAnsi" w:hAnsiTheme="minorHAnsi" w:cstheme="minorHAnsi"/>
          <w:sz w:val="16"/>
          <w:szCs w:val="16"/>
        </w:rPr>
        <w:t xml:space="preserve">egregação da </w:t>
      </w:r>
      <w:r w:rsidR="00271D30" w:rsidRPr="00A92A3E">
        <w:rPr>
          <w:rFonts w:asciiTheme="minorHAnsi" w:hAnsiTheme="minorHAnsi" w:cstheme="minorHAnsi"/>
          <w:sz w:val="16"/>
          <w:szCs w:val="16"/>
        </w:rPr>
        <w:t>M</w:t>
      </w:r>
      <w:r w:rsidR="00773CF6">
        <w:rPr>
          <w:rFonts w:asciiTheme="minorHAnsi" w:hAnsiTheme="minorHAnsi" w:cstheme="minorHAnsi"/>
          <w:sz w:val="16"/>
          <w:szCs w:val="16"/>
        </w:rPr>
        <w:t xml:space="preserve">assa, somente </w:t>
      </w:r>
      <w:r w:rsidR="00E568DC" w:rsidRPr="00A92A3E">
        <w:rPr>
          <w:rFonts w:asciiTheme="minorHAnsi" w:hAnsiTheme="minorHAnsi" w:cstheme="minorHAnsi"/>
          <w:sz w:val="16"/>
          <w:szCs w:val="16"/>
        </w:rPr>
        <w:t>os aposentados e pensionistas do Fundo em Capitalização</w:t>
      </w:r>
      <w:r w:rsidR="00941765" w:rsidRPr="00A92A3E">
        <w:rPr>
          <w:rFonts w:asciiTheme="minorHAnsi" w:hAnsiTheme="minorHAnsi" w:cstheme="minorHAnsi"/>
          <w:sz w:val="16"/>
          <w:szCs w:val="16"/>
        </w:rPr>
        <w:t xml:space="preserve"> terão acesso ao </w:t>
      </w:r>
      <w:r w:rsidR="00E76DFA" w:rsidRPr="00A92A3E">
        <w:rPr>
          <w:rFonts w:asciiTheme="minorHAnsi" w:hAnsiTheme="minorHAnsi" w:cstheme="minorHAnsi"/>
          <w:sz w:val="16"/>
          <w:szCs w:val="16"/>
        </w:rPr>
        <w:t>E</w:t>
      </w:r>
      <w:r w:rsidR="00941765" w:rsidRPr="00A92A3E">
        <w:rPr>
          <w:rFonts w:asciiTheme="minorHAnsi" w:hAnsiTheme="minorHAnsi" w:cstheme="minorHAnsi"/>
          <w:sz w:val="16"/>
          <w:szCs w:val="16"/>
        </w:rPr>
        <w:t xml:space="preserve">mpréstimo </w:t>
      </w:r>
      <w:r w:rsidR="00E76DFA" w:rsidRPr="00A92A3E">
        <w:rPr>
          <w:rFonts w:asciiTheme="minorHAnsi" w:hAnsiTheme="minorHAnsi" w:cstheme="minorHAnsi"/>
          <w:sz w:val="16"/>
          <w:szCs w:val="16"/>
        </w:rPr>
        <w:t>C</w:t>
      </w:r>
      <w:r w:rsidR="00941765" w:rsidRPr="00A92A3E">
        <w:rPr>
          <w:rFonts w:asciiTheme="minorHAnsi" w:hAnsiTheme="minorHAnsi" w:cstheme="minorHAnsi"/>
          <w:sz w:val="16"/>
          <w:szCs w:val="16"/>
        </w:rPr>
        <w:t>onsignado</w:t>
      </w:r>
      <w:r w:rsidR="00E568DC" w:rsidRPr="00A92A3E">
        <w:rPr>
          <w:rFonts w:asciiTheme="minorHAnsi" w:hAnsiTheme="minorHAnsi" w:cstheme="minorHAnsi"/>
          <w:sz w:val="16"/>
          <w:szCs w:val="16"/>
        </w:rPr>
        <w:t>.</w:t>
      </w:r>
    </w:p>
    <w:p w14:paraId="5CC842D8" w14:textId="7E567549" w:rsidR="00D83083" w:rsidRPr="00A92A3E" w:rsidRDefault="00D83083" w:rsidP="00D83083">
      <w:pPr>
        <w:pStyle w:val="Ttulo2"/>
        <w:rPr>
          <w:rFonts w:asciiTheme="minorHAnsi" w:hAnsiTheme="minorHAnsi" w:cstheme="minorHAnsi"/>
          <w:sz w:val="16"/>
          <w:szCs w:val="16"/>
        </w:rPr>
      </w:pPr>
      <w:r w:rsidRPr="00A92A3E">
        <w:rPr>
          <w:rFonts w:asciiTheme="minorHAnsi" w:hAnsiTheme="minorHAnsi" w:cstheme="minorHAnsi"/>
          <w:sz w:val="16"/>
          <w:szCs w:val="16"/>
        </w:rPr>
        <w:t>Concessão dos Empréstimos</w:t>
      </w:r>
    </w:p>
    <w:p w14:paraId="50D4C281" w14:textId="40849A77" w:rsidR="00D83083" w:rsidRPr="00A92A3E" w:rsidRDefault="00D979A0" w:rsidP="00D979A0">
      <w:pPr>
        <w:rPr>
          <w:rFonts w:asciiTheme="minorHAnsi" w:hAnsiTheme="minorHAnsi" w:cstheme="minorHAnsi"/>
          <w:sz w:val="16"/>
          <w:szCs w:val="16"/>
        </w:rPr>
      </w:pPr>
      <w:r w:rsidRPr="00A92A3E">
        <w:rPr>
          <w:rFonts w:asciiTheme="minorHAnsi" w:hAnsiTheme="minorHAnsi" w:cstheme="minorHAnsi"/>
          <w:sz w:val="16"/>
          <w:szCs w:val="16"/>
        </w:rPr>
        <w:t>A concessão de empréstimo está condicionada à consignação das prestações mensais em folha de pagamento de salários dos tomadores.</w:t>
      </w:r>
    </w:p>
    <w:p w14:paraId="7401639C" w14:textId="108AAA6C" w:rsidR="00D979A0" w:rsidRPr="00A92A3E" w:rsidRDefault="00D979A0" w:rsidP="00D979A0">
      <w:pPr>
        <w:rPr>
          <w:rFonts w:asciiTheme="minorHAnsi" w:hAnsiTheme="minorHAnsi" w:cstheme="minorHAnsi"/>
          <w:sz w:val="16"/>
          <w:szCs w:val="16"/>
        </w:rPr>
      </w:pPr>
      <w:r w:rsidRPr="00A92A3E">
        <w:rPr>
          <w:rFonts w:asciiTheme="minorHAnsi" w:hAnsiTheme="minorHAnsi" w:cstheme="minorHAnsi"/>
          <w:sz w:val="16"/>
          <w:szCs w:val="16"/>
        </w:rPr>
        <w:t xml:space="preserve">O empréstimo somente será concedido por meio da solicitação </w:t>
      </w:r>
      <w:r w:rsidR="0087400A" w:rsidRPr="00A92A3E">
        <w:rPr>
          <w:rFonts w:asciiTheme="minorHAnsi" w:hAnsiTheme="minorHAnsi" w:cstheme="minorHAnsi"/>
          <w:sz w:val="16"/>
          <w:szCs w:val="16"/>
        </w:rPr>
        <w:t>via plataforma/software de gestão e administração contrat</w:t>
      </w:r>
      <w:r w:rsidR="00CB0E50" w:rsidRPr="00A92A3E">
        <w:rPr>
          <w:rFonts w:asciiTheme="minorHAnsi" w:hAnsiTheme="minorHAnsi" w:cstheme="minorHAnsi"/>
          <w:sz w:val="16"/>
          <w:szCs w:val="16"/>
        </w:rPr>
        <w:t xml:space="preserve">ado pelo </w:t>
      </w:r>
      <w:r w:rsidR="00B53180">
        <w:rPr>
          <w:rStyle w:val="paragrafo"/>
          <w:rFonts w:asciiTheme="minorHAnsi" w:hAnsiTheme="minorHAnsi" w:cstheme="minorHAnsi"/>
          <w:b/>
          <w:bCs/>
          <w:sz w:val="16"/>
          <w:szCs w:val="16"/>
        </w:rPr>
        <w:t>FUNDO ESPECIAL DE PREVIDÊNCIA SOCIAL DE JAGUARIÚNA</w:t>
      </w:r>
      <w:r w:rsidR="00E76DFA" w:rsidRPr="00A92A3E">
        <w:rPr>
          <w:rFonts w:asciiTheme="minorHAnsi" w:hAnsiTheme="minorHAnsi" w:cstheme="minorHAnsi"/>
          <w:sz w:val="16"/>
          <w:szCs w:val="16"/>
        </w:rPr>
        <w:t>. O</w:t>
      </w:r>
      <w:r w:rsidRPr="00A92A3E">
        <w:rPr>
          <w:rFonts w:asciiTheme="minorHAnsi" w:hAnsiTheme="minorHAnsi" w:cstheme="minorHAnsi"/>
          <w:sz w:val="16"/>
          <w:szCs w:val="16"/>
        </w:rPr>
        <w:t xml:space="preserve"> deferimento é prerrogativa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observados os limites determinados n</w:t>
      </w:r>
      <w:r w:rsidR="00CB0E50" w:rsidRPr="00A92A3E">
        <w:rPr>
          <w:rFonts w:asciiTheme="minorHAnsi" w:hAnsiTheme="minorHAnsi" w:cstheme="minorHAnsi"/>
          <w:sz w:val="16"/>
          <w:szCs w:val="16"/>
        </w:rPr>
        <w:t>esta</w:t>
      </w:r>
      <w:r w:rsidRPr="00A92A3E">
        <w:rPr>
          <w:rFonts w:asciiTheme="minorHAnsi" w:hAnsiTheme="minorHAnsi" w:cstheme="minorHAnsi"/>
          <w:sz w:val="16"/>
          <w:szCs w:val="16"/>
        </w:rPr>
        <w:t xml:space="preserve"> Política de Investimentos e pela legislação para operações</w:t>
      </w:r>
      <w:r w:rsidR="00D43A04" w:rsidRPr="00A92A3E">
        <w:rPr>
          <w:rFonts w:asciiTheme="minorHAnsi" w:hAnsiTheme="minorHAnsi" w:cstheme="minorHAnsi"/>
          <w:sz w:val="16"/>
          <w:szCs w:val="16"/>
        </w:rPr>
        <w:t xml:space="preserve"> </w:t>
      </w:r>
      <w:r w:rsidRPr="00A92A3E">
        <w:rPr>
          <w:rFonts w:asciiTheme="minorHAnsi" w:hAnsiTheme="minorHAnsi" w:cstheme="minorHAnsi"/>
          <w:sz w:val="16"/>
          <w:szCs w:val="16"/>
        </w:rPr>
        <w:t>como contratantes de empréstimos.</w:t>
      </w:r>
    </w:p>
    <w:p w14:paraId="443EA868" w14:textId="70EFA7A6" w:rsidR="005A6EC6" w:rsidRPr="00A92A3E" w:rsidRDefault="005A6EC6" w:rsidP="005A6EC6">
      <w:pPr>
        <w:rPr>
          <w:rFonts w:asciiTheme="minorHAnsi" w:hAnsiTheme="minorHAnsi" w:cstheme="minorHAnsi"/>
          <w:sz w:val="16"/>
          <w:szCs w:val="16"/>
        </w:rPr>
      </w:pPr>
      <w:r w:rsidRPr="00A92A3E">
        <w:rPr>
          <w:rFonts w:asciiTheme="minorHAnsi" w:hAnsiTheme="minorHAnsi" w:cstheme="minorHAnsi"/>
          <w:sz w:val="16"/>
          <w:szCs w:val="16"/>
        </w:rPr>
        <w:t xml:space="preserve">Mediante autorização, a liberação do empréstimo em conta corrente será efetuada em até 72 (setenta e duas) horas do deferimento do pedido de concessão emitida pelo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w:t>
      </w:r>
    </w:p>
    <w:p w14:paraId="076BD4BC" w14:textId="17FF90B7" w:rsidR="0020106D" w:rsidRPr="00A92A3E" w:rsidRDefault="00CD526F" w:rsidP="00CD526F">
      <w:pPr>
        <w:rPr>
          <w:rFonts w:asciiTheme="minorHAnsi" w:hAnsiTheme="minorHAnsi" w:cstheme="minorHAnsi"/>
          <w:sz w:val="16"/>
          <w:szCs w:val="16"/>
        </w:rPr>
      </w:pPr>
      <w:r w:rsidRPr="00A92A3E">
        <w:rPr>
          <w:rFonts w:asciiTheme="minorHAnsi" w:hAnsiTheme="minorHAnsi" w:cstheme="minorHAnsi"/>
          <w:sz w:val="16"/>
          <w:szCs w:val="16"/>
        </w:rPr>
        <w:t>Toda concessão de empréstimo estará condicionada à alocação de recursos prevista n</w:t>
      </w:r>
      <w:r w:rsidR="00EB34E3" w:rsidRPr="00A92A3E">
        <w:rPr>
          <w:rFonts w:asciiTheme="minorHAnsi" w:hAnsiTheme="minorHAnsi" w:cstheme="minorHAnsi"/>
          <w:sz w:val="16"/>
          <w:szCs w:val="16"/>
        </w:rPr>
        <w:t>esta</w:t>
      </w:r>
      <w:r w:rsidRPr="00A92A3E">
        <w:rPr>
          <w:rFonts w:asciiTheme="minorHAnsi" w:hAnsiTheme="minorHAnsi" w:cstheme="minorHAnsi"/>
          <w:sz w:val="16"/>
          <w:szCs w:val="16"/>
        </w:rPr>
        <w:t xml:space="preserve"> Política de Investimento, observados os limites relacionados a margem consignável e a legislação aplicável </w:t>
      </w:r>
      <w:r w:rsidR="00EB34E3" w:rsidRPr="00A92A3E">
        <w:rPr>
          <w:rFonts w:asciiTheme="minorHAnsi" w:hAnsiTheme="minorHAnsi" w:cstheme="minorHAnsi"/>
          <w:sz w:val="16"/>
          <w:szCs w:val="16"/>
        </w:rPr>
        <w:t xml:space="preserve">aos Regimes Próprio de Previdência Social </w:t>
      </w:r>
      <w:r w:rsidR="001028CF" w:rsidRPr="00A92A3E">
        <w:rPr>
          <w:rFonts w:asciiTheme="minorHAnsi" w:hAnsiTheme="minorHAnsi" w:cstheme="minorHAnsi"/>
          <w:sz w:val="16"/>
          <w:szCs w:val="16"/>
        </w:rPr>
        <w:t>–</w:t>
      </w:r>
      <w:r w:rsidR="00EB34E3" w:rsidRPr="00A92A3E">
        <w:rPr>
          <w:rFonts w:asciiTheme="minorHAnsi" w:hAnsiTheme="minorHAnsi" w:cstheme="minorHAnsi"/>
          <w:sz w:val="16"/>
          <w:szCs w:val="16"/>
        </w:rPr>
        <w:t xml:space="preserve"> RPPS</w:t>
      </w:r>
      <w:r w:rsidR="001028CF" w:rsidRPr="00A92A3E">
        <w:rPr>
          <w:rFonts w:asciiTheme="minorHAnsi" w:hAnsiTheme="minorHAnsi" w:cstheme="minorHAnsi"/>
          <w:sz w:val="16"/>
          <w:szCs w:val="16"/>
        </w:rPr>
        <w:t xml:space="preserve">, </w:t>
      </w:r>
      <w:r w:rsidRPr="00A92A3E">
        <w:rPr>
          <w:rFonts w:asciiTheme="minorHAnsi" w:hAnsiTheme="minorHAnsi" w:cstheme="minorHAnsi"/>
          <w:sz w:val="16"/>
          <w:szCs w:val="16"/>
        </w:rPr>
        <w:t>quanto às diretrizes de aplicação dos recursos.</w:t>
      </w:r>
    </w:p>
    <w:p w14:paraId="5C7005FC" w14:textId="2A6E110E" w:rsidR="00ED755D" w:rsidRPr="00A92A3E" w:rsidRDefault="00D93845" w:rsidP="00ED755D">
      <w:pPr>
        <w:pStyle w:val="Ttulo2"/>
        <w:rPr>
          <w:rFonts w:asciiTheme="minorHAnsi" w:hAnsiTheme="minorHAnsi" w:cstheme="minorHAnsi"/>
          <w:sz w:val="16"/>
          <w:szCs w:val="16"/>
        </w:rPr>
      </w:pPr>
      <w:r w:rsidRPr="00A92A3E">
        <w:rPr>
          <w:rFonts w:asciiTheme="minorHAnsi" w:hAnsiTheme="minorHAnsi" w:cstheme="minorHAnsi"/>
          <w:sz w:val="16"/>
          <w:szCs w:val="16"/>
        </w:rPr>
        <w:t>Margem</w:t>
      </w:r>
      <w:r w:rsidR="0091262F"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Valores </w:t>
      </w:r>
      <w:r w:rsidR="0091262F" w:rsidRPr="00A92A3E">
        <w:rPr>
          <w:rFonts w:asciiTheme="minorHAnsi" w:hAnsiTheme="minorHAnsi" w:cstheme="minorHAnsi"/>
          <w:sz w:val="16"/>
          <w:szCs w:val="16"/>
        </w:rPr>
        <w:t>e Prazos</w:t>
      </w:r>
    </w:p>
    <w:p w14:paraId="011ACC66" w14:textId="65389072" w:rsidR="00697108" w:rsidRPr="00A92A3E" w:rsidRDefault="007B4B4C" w:rsidP="007B4B4C">
      <w:pPr>
        <w:rPr>
          <w:rFonts w:asciiTheme="minorHAnsi" w:hAnsiTheme="minorHAnsi" w:cstheme="minorHAnsi"/>
          <w:sz w:val="16"/>
          <w:szCs w:val="16"/>
        </w:rPr>
      </w:pPr>
      <w:r w:rsidRPr="00A92A3E">
        <w:rPr>
          <w:rFonts w:asciiTheme="minorHAnsi" w:hAnsiTheme="minorHAnsi" w:cstheme="minorHAnsi"/>
          <w:sz w:val="16"/>
          <w:szCs w:val="16"/>
        </w:rPr>
        <w:t>Para efeito da fixação da margem consignável, serão consideradas as disposições legais vigentes</w:t>
      </w:r>
      <w:r w:rsidR="000647DF" w:rsidRPr="00A92A3E">
        <w:rPr>
          <w:rFonts w:asciiTheme="minorHAnsi" w:hAnsiTheme="minorHAnsi" w:cstheme="minorHAnsi"/>
          <w:sz w:val="16"/>
          <w:szCs w:val="16"/>
        </w:rPr>
        <w:t xml:space="preserve"> e suas possíveis alterações. Para a </w:t>
      </w:r>
      <w:r w:rsidRPr="00A92A3E">
        <w:rPr>
          <w:rFonts w:asciiTheme="minorHAnsi" w:hAnsiTheme="minorHAnsi" w:cstheme="minorHAnsi"/>
          <w:sz w:val="16"/>
          <w:szCs w:val="16"/>
        </w:rPr>
        <w:t xml:space="preserve">administração </w:t>
      </w:r>
      <w:r w:rsidR="005E6EEA" w:rsidRPr="00A92A3E">
        <w:rPr>
          <w:rFonts w:asciiTheme="minorHAnsi" w:hAnsiTheme="minorHAnsi" w:cstheme="minorHAnsi"/>
          <w:sz w:val="16"/>
          <w:szCs w:val="16"/>
        </w:rPr>
        <w:t>da</w:t>
      </w:r>
      <w:r w:rsidRPr="00A92A3E">
        <w:rPr>
          <w:rFonts w:asciiTheme="minorHAnsi" w:hAnsiTheme="minorHAnsi" w:cstheme="minorHAnsi"/>
          <w:sz w:val="16"/>
          <w:szCs w:val="16"/>
        </w:rPr>
        <w:t xml:space="preserve"> folha</w:t>
      </w:r>
      <w:r w:rsidR="005E6EEA" w:rsidRPr="00A92A3E">
        <w:rPr>
          <w:rFonts w:asciiTheme="minorHAnsi" w:hAnsiTheme="minorHAnsi" w:cstheme="minorHAnsi"/>
          <w:sz w:val="16"/>
          <w:szCs w:val="16"/>
        </w:rPr>
        <w:t xml:space="preserve"> </w:t>
      </w:r>
      <w:r w:rsidRPr="00A92A3E">
        <w:rPr>
          <w:rFonts w:asciiTheme="minorHAnsi" w:hAnsiTheme="minorHAnsi" w:cstheme="minorHAnsi"/>
          <w:sz w:val="16"/>
          <w:szCs w:val="16"/>
        </w:rPr>
        <w:t>de pagamento d</w:t>
      </w:r>
      <w:r w:rsidR="005E6EEA" w:rsidRPr="00A92A3E">
        <w:rPr>
          <w:rFonts w:asciiTheme="minorHAnsi" w:hAnsiTheme="minorHAnsi" w:cstheme="minorHAnsi"/>
          <w:sz w:val="16"/>
          <w:szCs w:val="16"/>
        </w:rPr>
        <w:t>os</w:t>
      </w:r>
      <w:r w:rsidR="000647DF" w:rsidRPr="00A92A3E">
        <w:rPr>
          <w:rFonts w:asciiTheme="minorHAnsi" w:hAnsiTheme="minorHAnsi" w:cstheme="minorHAnsi"/>
          <w:sz w:val="16"/>
          <w:szCs w:val="16"/>
        </w:rPr>
        <w:t xml:space="preserve"> tomadores poderá ser </w:t>
      </w:r>
      <w:r w:rsidR="00F162CE" w:rsidRPr="00A92A3E">
        <w:rPr>
          <w:rFonts w:asciiTheme="minorHAnsi" w:hAnsiTheme="minorHAnsi" w:cstheme="minorHAnsi"/>
          <w:sz w:val="16"/>
          <w:szCs w:val="16"/>
        </w:rPr>
        <w:t>imitida “Instrução” de suporte</w:t>
      </w:r>
      <w:r w:rsidRPr="00A92A3E">
        <w:rPr>
          <w:rFonts w:asciiTheme="minorHAnsi" w:hAnsiTheme="minorHAnsi" w:cstheme="minorHAnsi"/>
          <w:sz w:val="16"/>
          <w:szCs w:val="16"/>
        </w:rPr>
        <w:t>.</w:t>
      </w:r>
    </w:p>
    <w:p w14:paraId="2C3FA684" w14:textId="4802A9B8" w:rsidR="00BC67A2" w:rsidRPr="00A92A3E" w:rsidRDefault="00BC67A2" w:rsidP="007748E3">
      <w:pPr>
        <w:rPr>
          <w:rFonts w:asciiTheme="minorHAnsi" w:hAnsiTheme="minorHAnsi" w:cstheme="minorHAnsi"/>
          <w:sz w:val="16"/>
          <w:szCs w:val="16"/>
        </w:rPr>
      </w:pPr>
      <w:r w:rsidRPr="00A92A3E">
        <w:rPr>
          <w:rFonts w:asciiTheme="minorHAnsi" w:hAnsiTheme="minorHAnsi" w:cstheme="minorHAnsi"/>
          <w:sz w:val="16"/>
          <w:szCs w:val="16"/>
        </w:rPr>
        <w:t>Para o servidor ativo será obrigatóri</w:t>
      </w:r>
      <w:r w:rsidR="00E76DFA" w:rsidRPr="00A92A3E">
        <w:rPr>
          <w:rFonts w:asciiTheme="minorHAnsi" w:hAnsiTheme="minorHAnsi" w:cstheme="minorHAnsi"/>
          <w:sz w:val="16"/>
          <w:szCs w:val="16"/>
        </w:rPr>
        <w:t>o</w:t>
      </w:r>
      <w:r w:rsidRPr="00A92A3E">
        <w:rPr>
          <w:rFonts w:asciiTheme="minorHAnsi" w:hAnsiTheme="minorHAnsi" w:cstheme="minorHAnsi"/>
          <w:sz w:val="16"/>
          <w:szCs w:val="16"/>
        </w:rPr>
        <w:t xml:space="preserve"> a apresentação do valor da margem consignável disponível fornecido pelo Ente Federativo.</w:t>
      </w:r>
      <w:r w:rsidR="007748E3" w:rsidRPr="00A92A3E">
        <w:rPr>
          <w:rFonts w:asciiTheme="minorHAnsi" w:hAnsiTheme="minorHAnsi" w:cstheme="minorHAnsi"/>
          <w:sz w:val="16"/>
          <w:szCs w:val="16"/>
        </w:rPr>
        <w:t xml:space="preserve"> Na concessão de empréstimo consignado para os aposentados e pensionistas a margem consignável será correspondente a </w:t>
      </w:r>
      <w:r w:rsidR="007748E3" w:rsidRPr="00A92A3E">
        <w:rPr>
          <w:rFonts w:asciiTheme="minorHAnsi" w:hAnsiTheme="minorHAnsi" w:cstheme="minorHAnsi"/>
          <w:b/>
          <w:bCs/>
          <w:sz w:val="16"/>
          <w:szCs w:val="16"/>
        </w:rPr>
        <w:t>30% (trinta por cento)</w:t>
      </w:r>
      <w:r w:rsidR="007748E3" w:rsidRPr="00A92A3E">
        <w:rPr>
          <w:rFonts w:asciiTheme="minorHAnsi" w:hAnsiTheme="minorHAnsi" w:cstheme="minorHAnsi"/>
          <w:sz w:val="16"/>
          <w:szCs w:val="16"/>
        </w:rPr>
        <w:t xml:space="preserve"> do benefício mensal líquido pago pelo </w:t>
      </w:r>
      <w:r w:rsidR="00B53180">
        <w:rPr>
          <w:rStyle w:val="paragrafo"/>
          <w:rFonts w:asciiTheme="minorHAnsi" w:hAnsiTheme="minorHAnsi" w:cstheme="minorHAnsi"/>
          <w:b/>
          <w:bCs/>
          <w:sz w:val="16"/>
          <w:szCs w:val="16"/>
        </w:rPr>
        <w:t>FUNDO ESPECIAL DE PREVIDÊNCIA SOCIAL DE JAGUARIÚNA</w:t>
      </w:r>
      <w:r w:rsidR="007748E3" w:rsidRPr="00A92A3E">
        <w:rPr>
          <w:rFonts w:asciiTheme="minorHAnsi" w:hAnsiTheme="minorHAnsi" w:cstheme="minorHAnsi"/>
          <w:sz w:val="16"/>
          <w:szCs w:val="16"/>
        </w:rPr>
        <w:t>.</w:t>
      </w:r>
    </w:p>
    <w:p w14:paraId="550C5CCF" w14:textId="28FB1D2B" w:rsidR="005421E7" w:rsidRPr="00A92A3E" w:rsidRDefault="005421E7" w:rsidP="005421E7">
      <w:pPr>
        <w:jc w:val="center"/>
        <w:rPr>
          <w:rFonts w:asciiTheme="minorHAnsi" w:hAnsiTheme="minorHAnsi" w:cstheme="minorHAnsi"/>
          <w:b/>
          <w:bCs/>
          <w:sz w:val="16"/>
          <w:szCs w:val="16"/>
        </w:rPr>
      </w:pPr>
      <w:r w:rsidRPr="00A92A3E">
        <w:rPr>
          <w:rFonts w:asciiTheme="minorHAnsi" w:hAnsiTheme="minorHAnsi" w:cstheme="minorHAnsi"/>
          <w:b/>
          <w:bCs/>
          <w:sz w:val="16"/>
          <w:szCs w:val="16"/>
        </w:rPr>
        <w:t>Tabela Informativa</w:t>
      </w:r>
    </w:p>
    <w:tbl>
      <w:tblPr>
        <w:tblStyle w:val="TabeladeGrade4"/>
        <w:tblW w:w="5000" w:type="pct"/>
        <w:tblLook w:val="04A0" w:firstRow="1" w:lastRow="0" w:firstColumn="1" w:lastColumn="0" w:noHBand="0" w:noVBand="1"/>
      </w:tblPr>
      <w:tblGrid>
        <w:gridCol w:w="4247"/>
        <w:gridCol w:w="4247"/>
      </w:tblGrid>
      <w:tr w:rsidR="00BF7368" w:rsidRPr="00A92A3E" w14:paraId="5BC8E0A9" w14:textId="77777777" w:rsidTr="00BF7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32D7B2A" w14:textId="77777777" w:rsidR="00BF7368" w:rsidRPr="00A92A3E" w:rsidRDefault="00BF7368" w:rsidP="00184B6A">
            <w:pPr>
              <w:spacing w:before="0" w:after="0"/>
              <w:jc w:val="center"/>
              <w:rPr>
                <w:rFonts w:asciiTheme="minorHAnsi" w:hAnsiTheme="minorHAnsi" w:cstheme="minorHAnsi"/>
                <w:color w:val="FFFFFF" w:themeColor="background1"/>
                <w:sz w:val="16"/>
                <w:szCs w:val="16"/>
              </w:rPr>
            </w:pPr>
            <w:r w:rsidRPr="00A92A3E">
              <w:rPr>
                <w:rFonts w:asciiTheme="minorHAnsi" w:hAnsiTheme="minorHAnsi" w:cstheme="minorHAnsi"/>
                <w:color w:val="FFFFFF" w:themeColor="background1"/>
                <w:sz w:val="16"/>
                <w:szCs w:val="16"/>
              </w:rPr>
              <w:t>Informações</w:t>
            </w:r>
          </w:p>
        </w:tc>
        <w:tc>
          <w:tcPr>
            <w:tcW w:w="2500" w:type="pct"/>
          </w:tcPr>
          <w:p w14:paraId="32DAF6F1" w14:textId="77777777" w:rsidR="00BF7368" w:rsidRPr="00A92A3E" w:rsidRDefault="00BF7368" w:rsidP="00184B6A">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A92A3E">
              <w:rPr>
                <w:rFonts w:asciiTheme="minorHAnsi" w:hAnsiTheme="minorHAnsi" w:cstheme="minorHAnsi"/>
                <w:color w:val="FFFFFF" w:themeColor="background1"/>
                <w:sz w:val="16"/>
                <w:szCs w:val="16"/>
              </w:rPr>
              <w:t>Critérios</w:t>
            </w:r>
          </w:p>
        </w:tc>
      </w:tr>
      <w:tr w:rsidR="00BF7368" w:rsidRPr="00A92A3E" w14:paraId="1D341683" w14:textId="77777777" w:rsidTr="00BF7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45F9660" w14:textId="69E70BDC" w:rsidR="00BF7368" w:rsidRPr="00A92A3E" w:rsidRDefault="00BF7368" w:rsidP="00184B6A">
            <w:pPr>
              <w:spacing w:before="0" w:after="0"/>
              <w:rPr>
                <w:rFonts w:asciiTheme="minorHAnsi" w:hAnsiTheme="minorHAnsi" w:cstheme="minorHAnsi"/>
                <w:sz w:val="16"/>
                <w:szCs w:val="16"/>
              </w:rPr>
            </w:pPr>
            <w:r w:rsidRPr="00A92A3E">
              <w:rPr>
                <w:rFonts w:asciiTheme="minorHAnsi" w:hAnsiTheme="minorHAnsi" w:cstheme="minorHAnsi"/>
                <w:sz w:val="16"/>
                <w:szCs w:val="16"/>
              </w:rPr>
              <w:t xml:space="preserve">Montante </w:t>
            </w:r>
            <w:r w:rsidR="00CC1B28" w:rsidRPr="00A92A3E">
              <w:rPr>
                <w:rFonts w:asciiTheme="minorHAnsi" w:hAnsiTheme="minorHAnsi" w:cstheme="minorHAnsi"/>
                <w:sz w:val="16"/>
                <w:szCs w:val="16"/>
              </w:rPr>
              <w:t>Disponível (%)</w:t>
            </w:r>
            <w:r w:rsidRPr="00A92A3E">
              <w:rPr>
                <w:rFonts w:asciiTheme="minorHAnsi" w:hAnsiTheme="minorHAnsi" w:cstheme="minorHAnsi"/>
                <w:sz w:val="16"/>
                <w:szCs w:val="16"/>
              </w:rPr>
              <w:t>:</w:t>
            </w:r>
          </w:p>
        </w:tc>
        <w:tc>
          <w:tcPr>
            <w:tcW w:w="2500" w:type="pct"/>
          </w:tcPr>
          <w:p w14:paraId="2218B8B1" w14:textId="48E9EA2D" w:rsidR="00BF7368" w:rsidRPr="00A92A3E" w:rsidRDefault="00BF7368" w:rsidP="00184B6A">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92A3E">
              <w:rPr>
                <w:rFonts w:asciiTheme="minorHAnsi" w:hAnsiTheme="minorHAnsi" w:cstheme="minorHAnsi"/>
                <w:sz w:val="16"/>
                <w:szCs w:val="16"/>
              </w:rPr>
              <w:t>5% do PL</w:t>
            </w:r>
          </w:p>
        </w:tc>
      </w:tr>
      <w:tr w:rsidR="00BF7368" w:rsidRPr="00A92A3E" w14:paraId="71D4AFF2" w14:textId="77777777" w:rsidTr="00BF7368">
        <w:tc>
          <w:tcPr>
            <w:cnfStyle w:val="001000000000" w:firstRow="0" w:lastRow="0" w:firstColumn="1" w:lastColumn="0" w:oddVBand="0" w:evenVBand="0" w:oddHBand="0" w:evenHBand="0" w:firstRowFirstColumn="0" w:firstRowLastColumn="0" w:lastRowFirstColumn="0" w:lastRowLastColumn="0"/>
            <w:tcW w:w="2500" w:type="pct"/>
          </w:tcPr>
          <w:p w14:paraId="725063B2" w14:textId="6ECA987E" w:rsidR="00BF7368" w:rsidRPr="00A92A3E" w:rsidRDefault="00CC1B28" w:rsidP="00184B6A">
            <w:pPr>
              <w:spacing w:before="0" w:after="0"/>
              <w:rPr>
                <w:rFonts w:asciiTheme="minorHAnsi" w:hAnsiTheme="minorHAnsi" w:cstheme="minorHAnsi"/>
                <w:sz w:val="16"/>
                <w:szCs w:val="16"/>
              </w:rPr>
            </w:pPr>
            <w:r w:rsidRPr="00A92A3E">
              <w:rPr>
                <w:rFonts w:asciiTheme="minorHAnsi" w:hAnsiTheme="minorHAnsi" w:cstheme="minorHAnsi"/>
                <w:sz w:val="16"/>
                <w:szCs w:val="16"/>
              </w:rPr>
              <w:t xml:space="preserve">Margem </w:t>
            </w:r>
            <w:r w:rsidR="00697ABD" w:rsidRPr="00A92A3E">
              <w:rPr>
                <w:rFonts w:asciiTheme="minorHAnsi" w:hAnsiTheme="minorHAnsi" w:cstheme="minorHAnsi"/>
                <w:sz w:val="16"/>
                <w:szCs w:val="16"/>
              </w:rPr>
              <w:t>Geral</w:t>
            </w:r>
            <w:r w:rsidR="008814F2" w:rsidRPr="00A92A3E">
              <w:rPr>
                <w:rFonts w:asciiTheme="minorHAnsi" w:hAnsiTheme="minorHAnsi" w:cstheme="minorHAnsi"/>
                <w:sz w:val="16"/>
                <w:szCs w:val="16"/>
              </w:rPr>
              <w:t xml:space="preserve"> </w:t>
            </w:r>
            <w:r w:rsidRPr="00A92A3E">
              <w:rPr>
                <w:rFonts w:asciiTheme="minorHAnsi" w:hAnsiTheme="minorHAnsi" w:cstheme="minorHAnsi"/>
                <w:sz w:val="16"/>
                <w:szCs w:val="16"/>
              </w:rPr>
              <w:t>(%)</w:t>
            </w:r>
            <w:r w:rsidR="00BF7368" w:rsidRPr="00A92A3E">
              <w:rPr>
                <w:rFonts w:asciiTheme="minorHAnsi" w:hAnsiTheme="minorHAnsi" w:cstheme="minorHAnsi"/>
                <w:sz w:val="16"/>
                <w:szCs w:val="16"/>
              </w:rPr>
              <w:t>:</w:t>
            </w:r>
          </w:p>
        </w:tc>
        <w:tc>
          <w:tcPr>
            <w:tcW w:w="2500" w:type="pct"/>
          </w:tcPr>
          <w:p w14:paraId="110DA824" w14:textId="1F159CD0" w:rsidR="00BF7368" w:rsidRPr="00A92A3E" w:rsidRDefault="00697ABD" w:rsidP="00184B6A">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92A3E">
              <w:rPr>
                <w:rFonts w:asciiTheme="minorHAnsi" w:hAnsiTheme="minorHAnsi" w:cstheme="minorHAnsi"/>
                <w:sz w:val="16"/>
                <w:szCs w:val="16"/>
              </w:rPr>
              <w:t>35</w:t>
            </w:r>
            <w:r w:rsidR="00BF7368" w:rsidRPr="00A92A3E">
              <w:rPr>
                <w:rFonts w:asciiTheme="minorHAnsi" w:hAnsiTheme="minorHAnsi" w:cstheme="minorHAnsi"/>
                <w:sz w:val="16"/>
                <w:szCs w:val="16"/>
              </w:rPr>
              <w:t>% da Folha</w:t>
            </w:r>
            <w:r w:rsidR="008814F2" w:rsidRPr="00A92A3E">
              <w:rPr>
                <w:rFonts w:asciiTheme="minorHAnsi" w:hAnsiTheme="minorHAnsi" w:cstheme="minorHAnsi"/>
                <w:sz w:val="16"/>
                <w:szCs w:val="16"/>
              </w:rPr>
              <w:t xml:space="preserve"> de Pagamento</w:t>
            </w:r>
          </w:p>
        </w:tc>
      </w:tr>
      <w:tr w:rsidR="00BF7368" w:rsidRPr="00A92A3E" w14:paraId="4B879B9F" w14:textId="77777777" w:rsidTr="00BF7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76EBA7F" w14:textId="0EA0F5BC" w:rsidR="00BF7368" w:rsidRPr="00A92A3E" w:rsidRDefault="00BF7368" w:rsidP="00184B6A">
            <w:pPr>
              <w:spacing w:before="0" w:after="0"/>
              <w:rPr>
                <w:rFonts w:asciiTheme="minorHAnsi" w:hAnsiTheme="minorHAnsi" w:cstheme="minorHAnsi"/>
                <w:sz w:val="16"/>
                <w:szCs w:val="16"/>
              </w:rPr>
            </w:pPr>
            <w:r w:rsidRPr="00A92A3E">
              <w:rPr>
                <w:rFonts w:asciiTheme="minorHAnsi" w:hAnsiTheme="minorHAnsi" w:cstheme="minorHAnsi"/>
                <w:sz w:val="16"/>
                <w:szCs w:val="16"/>
              </w:rPr>
              <w:t>Prazo</w:t>
            </w:r>
            <w:r w:rsidR="00CC1B28" w:rsidRPr="00A92A3E">
              <w:rPr>
                <w:rFonts w:asciiTheme="minorHAnsi" w:hAnsiTheme="minorHAnsi" w:cstheme="minorHAnsi"/>
                <w:sz w:val="16"/>
                <w:szCs w:val="16"/>
              </w:rPr>
              <w:t xml:space="preserve"> </w:t>
            </w:r>
            <w:r w:rsidR="00A32C77" w:rsidRPr="00A92A3E">
              <w:rPr>
                <w:rFonts w:asciiTheme="minorHAnsi" w:hAnsiTheme="minorHAnsi" w:cstheme="minorHAnsi"/>
                <w:sz w:val="16"/>
                <w:szCs w:val="16"/>
              </w:rPr>
              <w:t>Máximo</w:t>
            </w:r>
            <w:r w:rsidR="00CF317A" w:rsidRPr="00A92A3E">
              <w:rPr>
                <w:rFonts w:asciiTheme="minorHAnsi" w:hAnsiTheme="minorHAnsi" w:cstheme="minorHAnsi"/>
                <w:sz w:val="16"/>
                <w:szCs w:val="16"/>
              </w:rPr>
              <w:t xml:space="preserve"> de Concessão</w:t>
            </w:r>
            <w:r w:rsidR="00CC1B28" w:rsidRPr="00A92A3E">
              <w:rPr>
                <w:rFonts w:asciiTheme="minorHAnsi" w:hAnsiTheme="minorHAnsi" w:cstheme="minorHAnsi"/>
                <w:sz w:val="16"/>
                <w:szCs w:val="16"/>
              </w:rPr>
              <w:t xml:space="preserve"> (</w:t>
            </w:r>
            <w:r w:rsidR="00C661C8" w:rsidRPr="00A92A3E">
              <w:rPr>
                <w:rFonts w:asciiTheme="minorHAnsi" w:hAnsiTheme="minorHAnsi" w:cstheme="minorHAnsi"/>
                <w:sz w:val="16"/>
                <w:szCs w:val="16"/>
              </w:rPr>
              <w:t>meses</w:t>
            </w:r>
            <w:r w:rsidR="004D2AF2" w:rsidRPr="00A92A3E">
              <w:rPr>
                <w:rFonts w:asciiTheme="minorHAnsi" w:hAnsiTheme="minorHAnsi" w:cstheme="minorHAnsi"/>
                <w:sz w:val="16"/>
                <w:szCs w:val="16"/>
              </w:rPr>
              <w:t>)</w:t>
            </w:r>
            <w:r w:rsidRPr="00A92A3E">
              <w:rPr>
                <w:rFonts w:asciiTheme="minorHAnsi" w:hAnsiTheme="minorHAnsi" w:cstheme="minorHAnsi"/>
                <w:sz w:val="16"/>
                <w:szCs w:val="16"/>
              </w:rPr>
              <w:t>:</w:t>
            </w:r>
          </w:p>
        </w:tc>
        <w:tc>
          <w:tcPr>
            <w:tcW w:w="2500" w:type="pct"/>
          </w:tcPr>
          <w:p w14:paraId="3DF55D0C" w14:textId="05AFFA8D" w:rsidR="00BF7368" w:rsidRPr="00A92A3E" w:rsidRDefault="00995347" w:rsidP="00184B6A">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92A3E">
              <w:rPr>
                <w:rFonts w:asciiTheme="minorHAnsi" w:hAnsiTheme="minorHAnsi" w:cstheme="minorHAnsi"/>
                <w:sz w:val="16"/>
                <w:szCs w:val="16"/>
              </w:rPr>
              <w:t>84</w:t>
            </w:r>
            <w:r w:rsidR="00BF7368" w:rsidRPr="00A92A3E">
              <w:rPr>
                <w:rFonts w:asciiTheme="minorHAnsi" w:hAnsiTheme="minorHAnsi" w:cstheme="minorHAnsi"/>
                <w:sz w:val="16"/>
                <w:szCs w:val="16"/>
              </w:rPr>
              <w:t xml:space="preserve"> meses (</w:t>
            </w:r>
            <w:r w:rsidR="00C661C8" w:rsidRPr="00A92A3E">
              <w:rPr>
                <w:rFonts w:asciiTheme="minorHAnsi" w:hAnsiTheme="minorHAnsi" w:cstheme="minorHAnsi"/>
                <w:sz w:val="16"/>
                <w:szCs w:val="16"/>
              </w:rPr>
              <w:t>teto d</w:t>
            </w:r>
            <w:r w:rsidR="007B4B4C" w:rsidRPr="00A92A3E">
              <w:rPr>
                <w:rFonts w:asciiTheme="minorHAnsi" w:hAnsiTheme="minorHAnsi" w:cstheme="minorHAnsi"/>
                <w:sz w:val="16"/>
                <w:szCs w:val="16"/>
              </w:rPr>
              <w:t>o INSS)</w:t>
            </w:r>
          </w:p>
        </w:tc>
      </w:tr>
      <w:tr w:rsidR="00CF317A" w:rsidRPr="00A92A3E" w14:paraId="645CC49D" w14:textId="77777777" w:rsidTr="00BF7368">
        <w:tc>
          <w:tcPr>
            <w:cnfStyle w:val="001000000000" w:firstRow="0" w:lastRow="0" w:firstColumn="1" w:lastColumn="0" w:oddVBand="0" w:evenVBand="0" w:oddHBand="0" w:evenHBand="0" w:firstRowFirstColumn="0" w:firstRowLastColumn="0" w:lastRowFirstColumn="0" w:lastRowLastColumn="0"/>
            <w:tcW w:w="2500" w:type="pct"/>
          </w:tcPr>
          <w:p w14:paraId="2F9F56D9" w14:textId="7FFE6FEE" w:rsidR="00CF317A" w:rsidRPr="00A92A3E" w:rsidRDefault="00CF317A" w:rsidP="00184B6A">
            <w:pPr>
              <w:spacing w:before="0" w:after="0"/>
              <w:rPr>
                <w:rFonts w:asciiTheme="minorHAnsi" w:hAnsiTheme="minorHAnsi" w:cstheme="minorHAnsi"/>
                <w:sz w:val="16"/>
                <w:szCs w:val="16"/>
              </w:rPr>
            </w:pPr>
            <w:r w:rsidRPr="00A92A3E">
              <w:rPr>
                <w:rFonts w:asciiTheme="minorHAnsi" w:hAnsiTheme="minorHAnsi" w:cstheme="minorHAnsi"/>
                <w:sz w:val="16"/>
                <w:szCs w:val="16"/>
              </w:rPr>
              <w:t>Prazo Mínimo de Concessão (meses)</w:t>
            </w:r>
          </w:p>
        </w:tc>
        <w:tc>
          <w:tcPr>
            <w:tcW w:w="2500" w:type="pct"/>
          </w:tcPr>
          <w:p w14:paraId="0ED389DE" w14:textId="62A7580E" w:rsidR="00CF317A" w:rsidRPr="00A92A3E" w:rsidRDefault="0072415A" w:rsidP="00184B6A">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6</w:t>
            </w:r>
            <w:r w:rsidR="00CF317A" w:rsidRPr="00A92A3E">
              <w:rPr>
                <w:rFonts w:asciiTheme="minorHAnsi" w:hAnsiTheme="minorHAnsi" w:cstheme="minorHAnsi"/>
                <w:sz w:val="16"/>
                <w:szCs w:val="16"/>
              </w:rPr>
              <w:t xml:space="preserve"> meses (mínimo do INSS)</w:t>
            </w:r>
          </w:p>
        </w:tc>
      </w:tr>
    </w:tbl>
    <w:p w14:paraId="05D707D0" w14:textId="34BEB14A" w:rsidR="00697108" w:rsidRPr="00A92A3E" w:rsidRDefault="00DF502B" w:rsidP="00DF502B">
      <w:pPr>
        <w:rPr>
          <w:rFonts w:asciiTheme="minorHAnsi" w:hAnsiTheme="minorHAnsi" w:cstheme="minorHAnsi"/>
          <w:sz w:val="16"/>
          <w:szCs w:val="16"/>
        </w:rPr>
      </w:pPr>
      <w:r w:rsidRPr="00A92A3E">
        <w:rPr>
          <w:rFonts w:asciiTheme="minorHAnsi" w:hAnsiTheme="minorHAnsi" w:cstheme="minorHAnsi"/>
          <w:sz w:val="16"/>
          <w:szCs w:val="16"/>
        </w:rPr>
        <w:t>O valor máximo de empréstimo a ser concedido ao</w:t>
      </w:r>
      <w:r w:rsidR="002C7BFD" w:rsidRPr="00A92A3E">
        <w:rPr>
          <w:rFonts w:asciiTheme="minorHAnsi" w:hAnsiTheme="minorHAnsi" w:cstheme="minorHAnsi"/>
          <w:sz w:val="16"/>
          <w:szCs w:val="16"/>
        </w:rPr>
        <w:t>s</w:t>
      </w:r>
      <w:r w:rsidRPr="00A92A3E">
        <w:rPr>
          <w:rFonts w:asciiTheme="minorHAnsi" w:hAnsiTheme="minorHAnsi" w:cstheme="minorHAnsi"/>
          <w:sz w:val="16"/>
          <w:szCs w:val="16"/>
        </w:rPr>
        <w:t xml:space="preserve"> tomador</w:t>
      </w:r>
      <w:r w:rsidR="002C7BFD" w:rsidRPr="00A92A3E">
        <w:rPr>
          <w:rFonts w:asciiTheme="minorHAnsi" w:hAnsiTheme="minorHAnsi" w:cstheme="minorHAnsi"/>
          <w:sz w:val="16"/>
          <w:szCs w:val="16"/>
        </w:rPr>
        <w:t>es</w:t>
      </w:r>
      <w:r w:rsidRPr="00A92A3E">
        <w:rPr>
          <w:rFonts w:asciiTheme="minorHAnsi" w:hAnsiTheme="minorHAnsi" w:cstheme="minorHAnsi"/>
          <w:sz w:val="16"/>
          <w:szCs w:val="16"/>
        </w:rPr>
        <w:t xml:space="preserve"> </w:t>
      </w:r>
      <w:r w:rsidR="007D7D72" w:rsidRPr="00A92A3E">
        <w:rPr>
          <w:rFonts w:asciiTheme="minorHAnsi" w:hAnsiTheme="minorHAnsi" w:cstheme="minorHAnsi"/>
          <w:sz w:val="16"/>
          <w:szCs w:val="16"/>
        </w:rPr>
        <w:t>não será superior à margem consignável</w:t>
      </w:r>
      <w:r w:rsidRPr="00A92A3E">
        <w:rPr>
          <w:rFonts w:asciiTheme="minorHAnsi" w:hAnsiTheme="minorHAnsi" w:cstheme="minorHAnsi"/>
          <w:sz w:val="16"/>
          <w:szCs w:val="16"/>
        </w:rPr>
        <w:t>, além da taxa de juros e do índice de atualização monetária.</w:t>
      </w:r>
    </w:p>
    <w:p w14:paraId="02D27B06" w14:textId="627B8E80" w:rsidR="00F75633" w:rsidRPr="00A92A3E" w:rsidRDefault="004D2AF2" w:rsidP="00DF502B">
      <w:pPr>
        <w:rPr>
          <w:rFonts w:asciiTheme="minorHAnsi" w:hAnsiTheme="minorHAnsi" w:cstheme="minorHAnsi"/>
          <w:sz w:val="16"/>
          <w:szCs w:val="16"/>
        </w:rPr>
      </w:pPr>
      <w:r w:rsidRPr="00A92A3E">
        <w:rPr>
          <w:rFonts w:asciiTheme="minorHAnsi" w:hAnsiTheme="minorHAnsi" w:cstheme="minorHAnsi"/>
          <w:sz w:val="16"/>
          <w:szCs w:val="16"/>
        </w:rPr>
        <w:t xml:space="preserve">Os empréstimos simples e de renegociação devem considerar o prazo máximo de amortização utilizado </w:t>
      </w:r>
      <w:r w:rsidR="00F44581" w:rsidRPr="00A92A3E">
        <w:rPr>
          <w:rFonts w:asciiTheme="minorHAnsi" w:hAnsiTheme="minorHAnsi" w:cstheme="minorHAnsi"/>
          <w:sz w:val="16"/>
          <w:szCs w:val="16"/>
        </w:rPr>
        <w:t>como “Teto do INSS”.</w:t>
      </w:r>
    </w:p>
    <w:p w14:paraId="7D82F452" w14:textId="50C99910" w:rsidR="00635488" w:rsidRPr="00A92A3E" w:rsidRDefault="00F44581" w:rsidP="00DF502B">
      <w:pPr>
        <w:rPr>
          <w:rFonts w:asciiTheme="minorHAnsi" w:hAnsiTheme="minorHAnsi" w:cstheme="minorHAnsi"/>
          <w:sz w:val="16"/>
          <w:szCs w:val="16"/>
        </w:rPr>
      </w:pPr>
      <w:r w:rsidRPr="00A92A3E">
        <w:rPr>
          <w:rFonts w:asciiTheme="minorHAnsi" w:hAnsiTheme="minorHAnsi" w:cstheme="minorHAnsi"/>
          <w:sz w:val="16"/>
          <w:szCs w:val="16"/>
        </w:rPr>
        <w:t>Os empréstimos serão concedidos pelo sistema de amortização prefixado, para serem descontados em prestações mensais conforme o prazo estabelecido, ressalvando as condições extraordinárias nos casos de repactuações.</w:t>
      </w:r>
    </w:p>
    <w:p w14:paraId="5833C732" w14:textId="135D4334" w:rsidR="00D23793" w:rsidRPr="00A92A3E" w:rsidRDefault="00E33BB7" w:rsidP="00C15D2D">
      <w:pPr>
        <w:pStyle w:val="Ttulo2"/>
        <w:rPr>
          <w:rFonts w:asciiTheme="minorHAnsi" w:hAnsiTheme="minorHAnsi" w:cstheme="minorHAnsi"/>
          <w:sz w:val="16"/>
          <w:szCs w:val="16"/>
        </w:rPr>
      </w:pPr>
      <w:r w:rsidRPr="00A92A3E">
        <w:rPr>
          <w:rFonts w:asciiTheme="minorHAnsi" w:hAnsiTheme="minorHAnsi" w:cstheme="minorHAnsi"/>
          <w:sz w:val="16"/>
          <w:szCs w:val="16"/>
        </w:rPr>
        <w:t>Cargos e Taxas</w:t>
      </w:r>
    </w:p>
    <w:p w14:paraId="543C2447" w14:textId="7623F430" w:rsidR="006E2BF0" w:rsidRPr="00A92A3E" w:rsidRDefault="006E2BF0" w:rsidP="006E2BF0">
      <w:pPr>
        <w:rPr>
          <w:rFonts w:asciiTheme="minorHAnsi" w:hAnsiTheme="minorHAnsi" w:cstheme="minorHAnsi"/>
          <w:sz w:val="16"/>
          <w:szCs w:val="16"/>
        </w:rPr>
      </w:pPr>
      <w:r w:rsidRPr="00A92A3E">
        <w:rPr>
          <w:rFonts w:asciiTheme="minorHAnsi" w:hAnsiTheme="minorHAnsi" w:cstheme="minorHAnsi"/>
          <w:sz w:val="16"/>
          <w:szCs w:val="16"/>
        </w:rPr>
        <w:t>As prestações do empréstimo concedidos serão calculadas mediante aplicação de:</w:t>
      </w:r>
    </w:p>
    <w:p w14:paraId="487C1935" w14:textId="7C5E6A04" w:rsidR="006E2BF0" w:rsidRPr="00A92A3E" w:rsidRDefault="002300AA" w:rsidP="00F5523C">
      <w:pPr>
        <w:pStyle w:val="PargrafodaLista"/>
        <w:numPr>
          <w:ilvl w:val="0"/>
          <w:numId w:val="23"/>
        </w:numPr>
        <w:rPr>
          <w:rFonts w:asciiTheme="minorHAnsi" w:hAnsiTheme="minorHAnsi" w:cstheme="minorHAnsi"/>
          <w:sz w:val="16"/>
          <w:szCs w:val="16"/>
        </w:rPr>
      </w:pPr>
      <w:r w:rsidRPr="00A92A3E">
        <w:rPr>
          <w:rFonts w:asciiTheme="minorHAnsi" w:hAnsiTheme="minorHAnsi" w:cstheme="minorHAnsi"/>
          <w:sz w:val="16"/>
          <w:szCs w:val="16"/>
        </w:rPr>
        <w:t xml:space="preserve">Meta de Rentabilidade definida </w:t>
      </w:r>
      <w:r w:rsidR="002F24EF" w:rsidRPr="00A92A3E">
        <w:rPr>
          <w:rFonts w:asciiTheme="minorHAnsi" w:hAnsiTheme="minorHAnsi" w:cstheme="minorHAnsi"/>
          <w:sz w:val="16"/>
          <w:szCs w:val="16"/>
        </w:rPr>
        <w:t xml:space="preserve">e aprovada </w:t>
      </w:r>
      <w:r w:rsidRPr="00A92A3E">
        <w:rPr>
          <w:rFonts w:asciiTheme="minorHAnsi" w:hAnsiTheme="minorHAnsi" w:cstheme="minorHAnsi"/>
          <w:sz w:val="16"/>
          <w:szCs w:val="16"/>
        </w:rPr>
        <w:t xml:space="preserve">pelo Comitê </w:t>
      </w:r>
      <w:r w:rsidR="002F24EF" w:rsidRPr="00A92A3E">
        <w:rPr>
          <w:rFonts w:asciiTheme="minorHAnsi" w:hAnsiTheme="minorHAnsi" w:cstheme="minorHAnsi"/>
          <w:sz w:val="16"/>
          <w:szCs w:val="16"/>
        </w:rPr>
        <w:t>de Investimentos e Conselho Deliberativo, devidamente informada nesta Política de Investimentos</w:t>
      </w:r>
      <w:r w:rsidR="00F95073" w:rsidRPr="00A92A3E">
        <w:rPr>
          <w:rFonts w:asciiTheme="minorHAnsi" w:hAnsiTheme="minorHAnsi" w:cstheme="minorHAnsi"/>
          <w:sz w:val="16"/>
          <w:szCs w:val="16"/>
        </w:rPr>
        <w:t>;</w:t>
      </w:r>
    </w:p>
    <w:p w14:paraId="2EC184EB" w14:textId="77777777" w:rsidR="00465752" w:rsidRPr="00A92A3E" w:rsidRDefault="00465752" w:rsidP="00465752">
      <w:pPr>
        <w:pStyle w:val="PargrafodaLista"/>
        <w:rPr>
          <w:rFonts w:asciiTheme="minorHAnsi" w:hAnsiTheme="minorHAnsi" w:cstheme="minorHAnsi"/>
          <w:sz w:val="16"/>
          <w:szCs w:val="16"/>
        </w:rPr>
      </w:pPr>
    </w:p>
    <w:p w14:paraId="61C5C982" w14:textId="37907772" w:rsidR="00F95073" w:rsidRPr="00A92A3E" w:rsidRDefault="00F95073" w:rsidP="00F5523C">
      <w:pPr>
        <w:pStyle w:val="PargrafodaLista"/>
        <w:numPr>
          <w:ilvl w:val="0"/>
          <w:numId w:val="23"/>
        </w:numPr>
        <w:rPr>
          <w:rFonts w:asciiTheme="minorHAnsi" w:hAnsiTheme="minorHAnsi" w:cstheme="minorHAnsi"/>
          <w:sz w:val="16"/>
          <w:szCs w:val="16"/>
        </w:rPr>
      </w:pPr>
      <w:r w:rsidRPr="00A92A3E">
        <w:rPr>
          <w:rFonts w:asciiTheme="minorHAnsi" w:hAnsiTheme="minorHAnsi" w:cstheme="minorHAnsi"/>
          <w:sz w:val="16"/>
          <w:szCs w:val="16"/>
        </w:rPr>
        <w:t>Índice de Atualização Monetária (IPCA-IBGE) para corrigir o valor emprestado,</w:t>
      </w:r>
    </w:p>
    <w:p w14:paraId="2ADDE3AD" w14:textId="77777777" w:rsidR="00465752" w:rsidRPr="00A92A3E" w:rsidRDefault="00465752" w:rsidP="00465752">
      <w:pPr>
        <w:pStyle w:val="PargrafodaLista"/>
        <w:rPr>
          <w:rFonts w:asciiTheme="minorHAnsi" w:hAnsiTheme="minorHAnsi" w:cstheme="minorHAnsi"/>
          <w:sz w:val="16"/>
          <w:szCs w:val="16"/>
        </w:rPr>
      </w:pPr>
    </w:p>
    <w:p w14:paraId="787F285C" w14:textId="5114ED3B" w:rsidR="00A072D5" w:rsidRPr="00A92A3E" w:rsidRDefault="00A072D5" w:rsidP="00F5523C">
      <w:pPr>
        <w:pStyle w:val="PargrafodaLista"/>
        <w:numPr>
          <w:ilvl w:val="0"/>
          <w:numId w:val="23"/>
        </w:numPr>
        <w:rPr>
          <w:rFonts w:asciiTheme="minorHAnsi" w:hAnsiTheme="minorHAnsi" w:cstheme="minorHAnsi"/>
          <w:sz w:val="16"/>
          <w:szCs w:val="16"/>
        </w:rPr>
      </w:pPr>
      <w:r w:rsidRPr="00A92A3E">
        <w:rPr>
          <w:rFonts w:asciiTheme="minorHAnsi" w:hAnsiTheme="minorHAnsi" w:cstheme="minorHAnsi"/>
          <w:sz w:val="16"/>
          <w:szCs w:val="16"/>
        </w:rPr>
        <w:t>Taxa de Administração;</w:t>
      </w:r>
    </w:p>
    <w:p w14:paraId="0BC644C6" w14:textId="77777777" w:rsidR="00465752" w:rsidRPr="00A92A3E" w:rsidRDefault="00465752" w:rsidP="00465752">
      <w:pPr>
        <w:pStyle w:val="PargrafodaLista"/>
        <w:rPr>
          <w:rFonts w:asciiTheme="minorHAnsi" w:hAnsiTheme="minorHAnsi" w:cstheme="minorHAnsi"/>
          <w:sz w:val="16"/>
          <w:szCs w:val="16"/>
        </w:rPr>
      </w:pPr>
    </w:p>
    <w:p w14:paraId="2BF160BE" w14:textId="1D742543" w:rsidR="00572E00" w:rsidRPr="00A92A3E" w:rsidRDefault="00572E00" w:rsidP="00F5523C">
      <w:pPr>
        <w:pStyle w:val="PargrafodaLista"/>
        <w:numPr>
          <w:ilvl w:val="0"/>
          <w:numId w:val="23"/>
        </w:numPr>
        <w:rPr>
          <w:rFonts w:asciiTheme="minorHAnsi" w:hAnsiTheme="minorHAnsi" w:cstheme="minorHAnsi"/>
          <w:sz w:val="16"/>
          <w:szCs w:val="16"/>
        </w:rPr>
      </w:pPr>
      <w:r w:rsidRPr="00A92A3E">
        <w:rPr>
          <w:rFonts w:asciiTheme="minorHAnsi" w:hAnsiTheme="minorHAnsi" w:cstheme="minorHAnsi"/>
          <w:sz w:val="16"/>
          <w:szCs w:val="16"/>
        </w:rPr>
        <w:t xml:space="preserve">Taxa do Fundo de Investimento de Liquidez para </w:t>
      </w:r>
      <w:r w:rsidR="00BB3E5A" w:rsidRPr="00A92A3E">
        <w:rPr>
          <w:rFonts w:asciiTheme="minorHAnsi" w:hAnsiTheme="minorHAnsi" w:cstheme="minorHAnsi"/>
          <w:sz w:val="16"/>
          <w:szCs w:val="16"/>
        </w:rPr>
        <w:t>guarda e gestão dos valores a serem concedidos e</w:t>
      </w:r>
    </w:p>
    <w:p w14:paraId="1E85CDF0" w14:textId="77777777" w:rsidR="00465752" w:rsidRPr="00A92A3E" w:rsidRDefault="00465752" w:rsidP="00465752">
      <w:pPr>
        <w:pStyle w:val="PargrafodaLista"/>
        <w:rPr>
          <w:rFonts w:asciiTheme="minorHAnsi" w:hAnsiTheme="minorHAnsi" w:cstheme="minorHAnsi"/>
          <w:sz w:val="16"/>
          <w:szCs w:val="16"/>
        </w:rPr>
      </w:pPr>
    </w:p>
    <w:p w14:paraId="365A57CC" w14:textId="5E38E52F" w:rsidR="00562475" w:rsidRPr="00A92A3E" w:rsidRDefault="00572E00" w:rsidP="00C4720D">
      <w:pPr>
        <w:pStyle w:val="PargrafodaLista"/>
        <w:numPr>
          <w:ilvl w:val="0"/>
          <w:numId w:val="23"/>
        </w:numPr>
        <w:rPr>
          <w:rFonts w:asciiTheme="minorHAnsi" w:hAnsiTheme="minorHAnsi" w:cstheme="minorHAnsi"/>
          <w:sz w:val="16"/>
          <w:szCs w:val="16"/>
        </w:rPr>
      </w:pPr>
      <w:r w:rsidRPr="00A92A3E">
        <w:rPr>
          <w:rFonts w:asciiTheme="minorHAnsi" w:hAnsiTheme="minorHAnsi" w:cstheme="minorHAnsi"/>
          <w:sz w:val="16"/>
          <w:szCs w:val="16"/>
        </w:rPr>
        <w:t xml:space="preserve">Taxa do Fundo Garantidor </w:t>
      </w:r>
      <w:r w:rsidR="00C4720D" w:rsidRPr="00A92A3E">
        <w:rPr>
          <w:rFonts w:asciiTheme="minorHAnsi" w:hAnsiTheme="minorHAnsi" w:cstheme="minorHAnsi"/>
          <w:sz w:val="16"/>
          <w:szCs w:val="16"/>
        </w:rPr>
        <w:t xml:space="preserve">e/ou Seguro </w:t>
      </w:r>
      <w:r w:rsidRPr="00A92A3E">
        <w:rPr>
          <w:rFonts w:asciiTheme="minorHAnsi" w:hAnsiTheme="minorHAnsi" w:cstheme="minorHAnsi"/>
          <w:sz w:val="16"/>
          <w:szCs w:val="16"/>
        </w:rPr>
        <w:t>para cobertura do empréstimo que será cobrada no ato da concessão</w:t>
      </w:r>
      <w:r w:rsidR="00C4720D" w:rsidRPr="00A92A3E">
        <w:rPr>
          <w:rFonts w:asciiTheme="minorHAnsi" w:hAnsiTheme="minorHAnsi" w:cstheme="minorHAnsi"/>
          <w:sz w:val="16"/>
          <w:szCs w:val="16"/>
        </w:rPr>
        <w:t>.</w:t>
      </w:r>
    </w:p>
    <w:p w14:paraId="61CB6C12" w14:textId="634FCF00" w:rsidR="00F95073" w:rsidRPr="00A92A3E" w:rsidRDefault="00F604D9" w:rsidP="00F604D9">
      <w:pPr>
        <w:rPr>
          <w:rFonts w:asciiTheme="minorHAnsi" w:hAnsiTheme="minorHAnsi" w:cstheme="minorHAnsi"/>
          <w:sz w:val="16"/>
          <w:szCs w:val="16"/>
        </w:rPr>
      </w:pPr>
      <w:r w:rsidRPr="00A92A3E">
        <w:rPr>
          <w:rFonts w:asciiTheme="minorHAnsi" w:hAnsiTheme="minorHAnsi" w:cstheme="minorHAnsi"/>
          <w:sz w:val="16"/>
          <w:szCs w:val="16"/>
        </w:rPr>
        <w:lastRenderedPageBreak/>
        <w:t>O valor máximo da Taxa de Administração será fixad</w:t>
      </w:r>
      <w:r w:rsidR="00E76DFA" w:rsidRPr="00A92A3E">
        <w:rPr>
          <w:rFonts w:asciiTheme="minorHAnsi" w:hAnsiTheme="minorHAnsi" w:cstheme="minorHAnsi"/>
          <w:sz w:val="16"/>
          <w:szCs w:val="16"/>
        </w:rPr>
        <w:t>o</w:t>
      </w:r>
      <w:r w:rsidRPr="00A92A3E">
        <w:rPr>
          <w:rFonts w:asciiTheme="minorHAnsi" w:hAnsiTheme="minorHAnsi" w:cstheme="minorHAnsi"/>
          <w:sz w:val="16"/>
          <w:szCs w:val="16"/>
        </w:rPr>
        <w:t xml:space="preserve"> pelo Comitê de Investimentos e </w:t>
      </w:r>
      <w:r w:rsidR="00E76DFA" w:rsidRPr="00A92A3E">
        <w:rPr>
          <w:rFonts w:asciiTheme="minorHAnsi" w:hAnsiTheme="minorHAnsi" w:cstheme="minorHAnsi"/>
          <w:sz w:val="16"/>
          <w:szCs w:val="16"/>
        </w:rPr>
        <w:t>d</w:t>
      </w:r>
      <w:r w:rsidRPr="00A92A3E">
        <w:rPr>
          <w:rFonts w:asciiTheme="minorHAnsi" w:hAnsiTheme="minorHAnsi" w:cstheme="minorHAnsi"/>
          <w:sz w:val="16"/>
          <w:szCs w:val="16"/>
        </w:rPr>
        <w:t xml:space="preserve">eliberada </w:t>
      </w:r>
      <w:r w:rsidR="008532F8" w:rsidRPr="00A92A3E">
        <w:rPr>
          <w:rFonts w:asciiTheme="minorHAnsi" w:hAnsiTheme="minorHAnsi" w:cstheme="minorHAnsi"/>
          <w:sz w:val="16"/>
          <w:szCs w:val="16"/>
        </w:rPr>
        <w:t>pelo Conselho Deliberativo</w:t>
      </w:r>
      <w:r w:rsidR="002E14DE" w:rsidRPr="00A92A3E">
        <w:rPr>
          <w:rFonts w:asciiTheme="minorHAnsi" w:hAnsiTheme="minorHAnsi" w:cstheme="minorHAnsi"/>
          <w:sz w:val="16"/>
          <w:szCs w:val="16"/>
        </w:rPr>
        <w:t xml:space="preserve"> e será</w:t>
      </w:r>
      <w:r w:rsidRPr="00A92A3E">
        <w:rPr>
          <w:rFonts w:asciiTheme="minorHAnsi" w:hAnsiTheme="minorHAnsi" w:cstheme="minorHAnsi"/>
          <w:sz w:val="16"/>
          <w:szCs w:val="16"/>
        </w:rPr>
        <w:t xml:space="preserve"> informada ao</w:t>
      </w:r>
      <w:r w:rsidR="002E14DE" w:rsidRPr="00A92A3E">
        <w:rPr>
          <w:rFonts w:asciiTheme="minorHAnsi" w:hAnsiTheme="minorHAnsi" w:cstheme="minorHAnsi"/>
          <w:sz w:val="16"/>
          <w:szCs w:val="16"/>
        </w:rPr>
        <w:t>s tomadores</w:t>
      </w:r>
      <w:r w:rsidRPr="00A92A3E">
        <w:rPr>
          <w:rFonts w:asciiTheme="minorHAnsi" w:hAnsiTheme="minorHAnsi" w:cstheme="minorHAnsi"/>
          <w:sz w:val="16"/>
          <w:szCs w:val="16"/>
        </w:rPr>
        <w:t xml:space="preserve"> no ato da concessão. Será destinada à cobertura dos custos com a administração da carteira de empréstimos e deverá</w:t>
      </w:r>
      <w:r w:rsidR="002E14DE" w:rsidRPr="00A92A3E">
        <w:rPr>
          <w:rFonts w:asciiTheme="minorHAnsi" w:hAnsiTheme="minorHAnsi" w:cstheme="minorHAnsi"/>
          <w:sz w:val="16"/>
          <w:szCs w:val="16"/>
        </w:rPr>
        <w:t xml:space="preserve"> </w:t>
      </w:r>
      <w:r w:rsidRPr="00A92A3E">
        <w:rPr>
          <w:rFonts w:asciiTheme="minorHAnsi" w:hAnsiTheme="minorHAnsi" w:cstheme="minorHAnsi"/>
          <w:sz w:val="16"/>
          <w:szCs w:val="16"/>
        </w:rPr>
        <w:t>ser deduzida do valor principal do empréstimo no ato da concessão.</w:t>
      </w:r>
    </w:p>
    <w:p w14:paraId="543646FA" w14:textId="42D479FA" w:rsidR="002E14DE" w:rsidRPr="00A92A3E" w:rsidRDefault="00A95F46" w:rsidP="00A95F46">
      <w:pPr>
        <w:rPr>
          <w:rFonts w:asciiTheme="minorHAnsi" w:hAnsiTheme="minorHAnsi" w:cstheme="minorHAnsi"/>
          <w:sz w:val="16"/>
          <w:szCs w:val="16"/>
        </w:rPr>
      </w:pPr>
      <w:r w:rsidRPr="00A92A3E">
        <w:rPr>
          <w:rFonts w:asciiTheme="minorHAnsi" w:hAnsiTheme="minorHAnsi" w:cstheme="minorHAnsi"/>
          <w:sz w:val="16"/>
          <w:szCs w:val="16"/>
        </w:rPr>
        <w:t xml:space="preserve">Poderá ser cobrado </w:t>
      </w:r>
      <w:r w:rsidR="00E76DFA" w:rsidRPr="00A92A3E">
        <w:rPr>
          <w:rFonts w:asciiTheme="minorHAnsi" w:hAnsiTheme="minorHAnsi" w:cstheme="minorHAnsi"/>
          <w:sz w:val="16"/>
          <w:szCs w:val="16"/>
        </w:rPr>
        <w:t>valor</w:t>
      </w:r>
      <w:r w:rsidRPr="00A92A3E">
        <w:rPr>
          <w:rFonts w:asciiTheme="minorHAnsi" w:hAnsiTheme="minorHAnsi" w:cstheme="minorHAnsi"/>
          <w:sz w:val="16"/>
          <w:szCs w:val="16"/>
        </w:rPr>
        <w:t xml:space="preserve"> para compor o Fundo Garantidor </w:t>
      </w:r>
      <w:r w:rsidR="00E76DFA" w:rsidRPr="00A92A3E">
        <w:rPr>
          <w:rFonts w:asciiTheme="minorHAnsi" w:hAnsiTheme="minorHAnsi" w:cstheme="minorHAnsi"/>
          <w:sz w:val="16"/>
          <w:szCs w:val="16"/>
        </w:rPr>
        <w:t xml:space="preserve">na </w:t>
      </w:r>
      <w:r w:rsidRPr="00A92A3E">
        <w:rPr>
          <w:rFonts w:asciiTheme="minorHAnsi" w:hAnsiTheme="minorHAnsi" w:cstheme="minorHAnsi"/>
          <w:sz w:val="16"/>
          <w:szCs w:val="16"/>
        </w:rPr>
        <w:t>cobertura d</w:t>
      </w:r>
      <w:r w:rsidR="00E76DFA" w:rsidRPr="00A92A3E">
        <w:rPr>
          <w:rFonts w:asciiTheme="minorHAnsi" w:hAnsiTheme="minorHAnsi" w:cstheme="minorHAnsi"/>
          <w:sz w:val="16"/>
          <w:szCs w:val="16"/>
        </w:rPr>
        <w:t>os</w:t>
      </w:r>
      <w:r w:rsidRPr="00A92A3E">
        <w:rPr>
          <w:rFonts w:asciiTheme="minorHAnsi" w:hAnsiTheme="minorHAnsi" w:cstheme="minorHAnsi"/>
          <w:sz w:val="16"/>
          <w:szCs w:val="16"/>
        </w:rPr>
        <w:t xml:space="preserve"> empréstimos, a ser deduzido do montante solicitado no ato da concessão. A constituição desse fundo será feita prioritariamente pela cobrança de percentual sobre as concessões e/ou performance superior à meta de rentabilidade.</w:t>
      </w:r>
    </w:p>
    <w:p w14:paraId="5489A8F4" w14:textId="5575D3C4" w:rsidR="009B08D9" w:rsidRPr="00A92A3E" w:rsidRDefault="009B08D9" w:rsidP="009B08D9">
      <w:pPr>
        <w:rPr>
          <w:rFonts w:asciiTheme="minorHAnsi" w:hAnsiTheme="minorHAnsi" w:cstheme="minorHAnsi"/>
          <w:sz w:val="16"/>
          <w:szCs w:val="16"/>
        </w:rPr>
      </w:pPr>
      <w:r w:rsidRPr="00A92A3E">
        <w:rPr>
          <w:rFonts w:asciiTheme="minorHAnsi" w:hAnsiTheme="minorHAnsi" w:cstheme="minorHAnsi"/>
          <w:sz w:val="16"/>
          <w:szCs w:val="16"/>
        </w:rPr>
        <w:t>As recuperações de crédito decorrentes de ações judiciais e extrajudiciais de cobrança também ensejarão a recomposição do Fundo Garantidor.</w:t>
      </w:r>
    </w:p>
    <w:p w14:paraId="788A4DE6" w14:textId="6101D70C" w:rsidR="00635488" w:rsidRPr="00A92A3E" w:rsidRDefault="00B350F9" w:rsidP="00B350F9">
      <w:pPr>
        <w:rPr>
          <w:rFonts w:asciiTheme="minorHAnsi" w:hAnsiTheme="minorHAnsi" w:cstheme="minorHAnsi"/>
          <w:sz w:val="16"/>
          <w:szCs w:val="16"/>
        </w:rPr>
      </w:pPr>
      <w:r w:rsidRPr="00A92A3E">
        <w:rPr>
          <w:rFonts w:asciiTheme="minorHAnsi" w:hAnsiTheme="minorHAnsi" w:cstheme="minorHAnsi"/>
          <w:sz w:val="16"/>
          <w:szCs w:val="16"/>
        </w:rPr>
        <w:t>Após a efetivação da concessão do empréstimo, os encargos incidentes sobre a operação não serão objeto de restituição. Entretanto, nos casos de quitação antecipada do contrato será apurada a redução dos juros incidentes sobre a concessão.</w:t>
      </w:r>
    </w:p>
    <w:p w14:paraId="3BA81B47" w14:textId="387FE86A" w:rsidR="00E33BB7" w:rsidRPr="00A92A3E" w:rsidRDefault="00E33BB7" w:rsidP="00E33BB7">
      <w:pPr>
        <w:pStyle w:val="Ttulo2"/>
        <w:rPr>
          <w:rFonts w:asciiTheme="minorHAnsi" w:hAnsiTheme="minorHAnsi" w:cstheme="minorHAnsi"/>
          <w:sz w:val="16"/>
          <w:szCs w:val="16"/>
        </w:rPr>
      </w:pPr>
      <w:r w:rsidRPr="00A92A3E">
        <w:rPr>
          <w:rFonts w:asciiTheme="minorHAnsi" w:hAnsiTheme="minorHAnsi" w:cstheme="minorHAnsi"/>
          <w:sz w:val="16"/>
          <w:szCs w:val="16"/>
        </w:rPr>
        <w:t>Cobrança das Prestações</w:t>
      </w:r>
    </w:p>
    <w:p w14:paraId="522CE55C" w14:textId="1004E066" w:rsidR="00B5086D" w:rsidRPr="00A92A3E" w:rsidRDefault="00B5086D" w:rsidP="00B14429">
      <w:pPr>
        <w:rPr>
          <w:rFonts w:asciiTheme="minorHAnsi" w:hAnsiTheme="minorHAnsi" w:cstheme="minorHAnsi"/>
          <w:sz w:val="16"/>
          <w:szCs w:val="16"/>
        </w:rPr>
      </w:pPr>
      <w:r w:rsidRPr="00A92A3E">
        <w:rPr>
          <w:rFonts w:asciiTheme="minorHAnsi" w:hAnsiTheme="minorHAnsi" w:cstheme="minorHAnsi"/>
          <w:sz w:val="16"/>
          <w:szCs w:val="16"/>
        </w:rPr>
        <w:t xml:space="preserve">O pagamento das prestações </w:t>
      </w:r>
      <w:r w:rsidR="00B14429" w:rsidRPr="00A92A3E">
        <w:rPr>
          <w:rFonts w:asciiTheme="minorHAnsi" w:hAnsiTheme="minorHAnsi" w:cstheme="minorHAnsi"/>
          <w:sz w:val="16"/>
          <w:szCs w:val="16"/>
        </w:rPr>
        <w:t>ocorrerá</w:t>
      </w:r>
      <w:r w:rsidR="00AD1864" w:rsidRPr="00A92A3E">
        <w:rPr>
          <w:rFonts w:asciiTheme="minorHAnsi" w:hAnsiTheme="minorHAnsi" w:cstheme="minorHAnsi"/>
          <w:sz w:val="16"/>
          <w:szCs w:val="16"/>
        </w:rPr>
        <w:t xml:space="preserve"> </w:t>
      </w:r>
      <w:r w:rsidRPr="00A92A3E">
        <w:rPr>
          <w:rFonts w:asciiTheme="minorHAnsi" w:hAnsiTheme="minorHAnsi" w:cstheme="minorHAnsi"/>
          <w:sz w:val="16"/>
          <w:szCs w:val="16"/>
        </w:rPr>
        <w:t>mensalmente</w:t>
      </w:r>
      <w:r w:rsidR="00B14429" w:rsidRPr="00A92A3E">
        <w:rPr>
          <w:rFonts w:asciiTheme="minorHAnsi" w:hAnsiTheme="minorHAnsi" w:cstheme="minorHAnsi"/>
          <w:sz w:val="16"/>
          <w:szCs w:val="16"/>
        </w:rPr>
        <w:t>. No caso dos servidores ativos, a amortização do saldo devedor ocorrerá por consignação na folha de pagamento</w:t>
      </w:r>
      <w:r w:rsidR="00142748" w:rsidRPr="00A92A3E">
        <w:rPr>
          <w:rFonts w:asciiTheme="minorHAnsi" w:hAnsiTheme="minorHAnsi" w:cstheme="minorHAnsi"/>
          <w:sz w:val="16"/>
          <w:szCs w:val="16"/>
        </w:rPr>
        <w:t xml:space="preserve"> do Ente Federativo</w:t>
      </w:r>
      <w:r w:rsidR="00B14429" w:rsidRPr="00A92A3E">
        <w:rPr>
          <w:rFonts w:asciiTheme="minorHAnsi" w:hAnsiTheme="minorHAnsi" w:cstheme="minorHAnsi"/>
          <w:sz w:val="16"/>
          <w:szCs w:val="16"/>
        </w:rPr>
        <w:t>. Para os</w:t>
      </w:r>
      <w:r w:rsidR="00142748" w:rsidRPr="00A92A3E">
        <w:rPr>
          <w:rFonts w:asciiTheme="minorHAnsi" w:hAnsiTheme="minorHAnsi" w:cstheme="minorHAnsi"/>
          <w:sz w:val="16"/>
          <w:szCs w:val="16"/>
        </w:rPr>
        <w:t xml:space="preserve"> beneficiários</w:t>
      </w:r>
      <w:r w:rsidR="00B14429" w:rsidRPr="00A92A3E">
        <w:rPr>
          <w:rFonts w:asciiTheme="minorHAnsi" w:hAnsiTheme="minorHAnsi" w:cstheme="minorHAnsi"/>
          <w:sz w:val="16"/>
          <w:szCs w:val="16"/>
        </w:rPr>
        <w:t>, os pagamentos</w:t>
      </w:r>
      <w:r w:rsidR="00142748" w:rsidRPr="00A92A3E">
        <w:rPr>
          <w:rFonts w:asciiTheme="minorHAnsi" w:hAnsiTheme="minorHAnsi" w:cstheme="minorHAnsi"/>
          <w:sz w:val="16"/>
          <w:szCs w:val="16"/>
        </w:rPr>
        <w:t xml:space="preserve"> </w:t>
      </w:r>
      <w:r w:rsidR="00B14429" w:rsidRPr="00A92A3E">
        <w:rPr>
          <w:rFonts w:asciiTheme="minorHAnsi" w:hAnsiTheme="minorHAnsi" w:cstheme="minorHAnsi"/>
          <w:sz w:val="16"/>
          <w:szCs w:val="16"/>
        </w:rPr>
        <w:t xml:space="preserve">serão descontados da folha de benefícios do </w:t>
      </w:r>
      <w:r w:rsidR="00B53180">
        <w:rPr>
          <w:rStyle w:val="paragrafo"/>
          <w:rFonts w:asciiTheme="minorHAnsi" w:hAnsiTheme="minorHAnsi" w:cstheme="minorHAnsi"/>
          <w:b/>
          <w:bCs/>
          <w:sz w:val="16"/>
          <w:szCs w:val="16"/>
        </w:rPr>
        <w:t>FUNDO ESPECIAL DE PREVIDÊNCIA SOCIAL DE JAGUARIÚNA</w:t>
      </w:r>
      <w:r w:rsidR="00B14429" w:rsidRPr="00A92A3E">
        <w:rPr>
          <w:rFonts w:asciiTheme="minorHAnsi" w:hAnsiTheme="minorHAnsi" w:cstheme="minorHAnsi"/>
          <w:sz w:val="16"/>
          <w:szCs w:val="16"/>
        </w:rPr>
        <w:t>.</w:t>
      </w:r>
    </w:p>
    <w:p w14:paraId="182FB900" w14:textId="67804F3E" w:rsidR="00151077" w:rsidRPr="00A92A3E" w:rsidRDefault="00151077" w:rsidP="00B14429">
      <w:pPr>
        <w:rPr>
          <w:rFonts w:asciiTheme="minorHAnsi" w:hAnsiTheme="minorHAnsi" w:cstheme="minorHAnsi"/>
          <w:sz w:val="16"/>
          <w:szCs w:val="16"/>
        </w:rPr>
      </w:pPr>
      <w:r w:rsidRPr="00A92A3E">
        <w:rPr>
          <w:rFonts w:asciiTheme="minorHAnsi" w:hAnsiTheme="minorHAnsi" w:cstheme="minorHAnsi"/>
          <w:sz w:val="16"/>
          <w:szCs w:val="16"/>
        </w:rPr>
        <w:t xml:space="preserve">Fica o Ente Federativo com a responsabilidade de informar 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o motivo pelo qual não houve o desconto em folha da parcela de empréstimos no mês subsequente ao vencimento da prestação.</w:t>
      </w:r>
    </w:p>
    <w:p w14:paraId="02AB977E" w14:textId="3CB3D39B" w:rsidR="00492C2B" w:rsidRPr="00A92A3E" w:rsidRDefault="00C36EE0" w:rsidP="00C36EE0">
      <w:pPr>
        <w:rPr>
          <w:rFonts w:asciiTheme="minorHAnsi" w:hAnsiTheme="minorHAnsi" w:cstheme="minorHAnsi"/>
          <w:sz w:val="16"/>
          <w:szCs w:val="16"/>
        </w:rPr>
      </w:pPr>
      <w:r w:rsidRPr="00A92A3E">
        <w:rPr>
          <w:rFonts w:asciiTheme="minorHAnsi" w:hAnsiTheme="minorHAnsi" w:cstheme="minorHAnsi"/>
          <w:sz w:val="16"/>
          <w:szCs w:val="16"/>
        </w:rPr>
        <w:t xml:space="preserve">Os </w:t>
      </w:r>
      <w:r w:rsidR="00492C2B" w:rsidRPr="00A92A3E">
        <w:rPr>
          <w:rFonts w:asciiTheme="minorHAnsi" w:hAnsiTheme="minorHAnsi" w:cstheme="minorHAnsi"/>
          <w:sz w:val="16"/>
          <w:szCs w:val="16"/>
        </w:rPr>
        <w:t>tomadores</w:t>
      </w:r>
      <w:r w:rsidRPr="00A92A3E">
        <w:rPr>
          <w:rFonts w:asciiTheme="minorHAnsi" w:hAnsiTheme="minorHAnsi" w:cstheme="minorHAnsi"/>
          <w:sz w:val="16"/>
          <w:szCs w:val="16"/>
        </w:rPr>
        <w:t xml:space="preserve"> permanecem como </w:t>
      </w:r>
      <w:r w:rsidR="00AD2D51" w:rsidRPr="00A92A3E">
        <w:rPr>
          <w:rFonts w:asciiTheme="minorHAnsi" w:hAnsiTheme="minorHAnsi" w:cstheme="minorHAnsi"/>
          <w:sz w:val="16"/>
          <w:szCs w:val="16"/>
        </w:rPr>
        <w:t xml:space="preserve">os </w:t>
      </w:r>
      <w:r w:rsidRPr="00A92A3E">
        <w:rPr>
          <w:rFonts w:asciiTheme="minorHAnsi" w:hAnsiTheme="minorHAnsi" w:cstheme="minorHAnsi"/>
          <w:sz w:val="16"/>
          <w:szCs w:val="16"/>
        </w:rPr>
        <w:t>únicos responsáveis pelo</w:t>
      </w:r>
      <w:r w:rsidR="00492C2B" w:rsidRPr="00A92A3E">
        <w:rPr>
          <w:rFonts w:asciiTheme="minorHAnsi" w:hAnsiTheme="minorHAnsi" w:cstheme="minorHAnsi"/>
          <w:sz w:val="16"/>
          <w:szCs w:val="16"/>
        </w:rPr>
        <w:t>s</w:t>
      </w:r>
      <w:r w:rsidRPr="00A92A3E">
        <w:rPr>
          <w:rFonts w:asciiTheme="minorHAnsi" w:hAnsiTheme="minorHAnsi" w:cstheme="minorHAnsi"/>
          <w:sz w:val="16"/>
          <w:szCs w:val="16"/>
        </w:rPr>
        <w:t xml:space="preserve"> pagamento</w:t>
      </w:r>
      <w:r w:rsidR="00492C2B" w:rsidRPr="00A92A3E">
        <w:rPr>
          <w:rFonts w:asciiTheme="minorHAnsi" w:hAnsiTheme="minorHAnsi" w:cstheme="minorHAnsi"/>
          <w:sz w:val="16"/>
          <w:szCs w:val="16"/>
        </w:rPr>
        <w:t>s</w:t>
      </w:r>
      <w:r w:rsidRPr="00A92A3E">
        <w:rPr>
          <w:rFonts w:asciiTheme="minorHAnsi" w:hAnsiTheme="minorHAnsi" w:cstheme="minorHAnsi"/>
          <w:sz w:val="16"/>
          <w:szCs w:val="16"/>
        </w:rPr>
        <w:t xml:space="preserve"> do</w:t>
      </w:r>
      <w:r w:rsidR="00492C2B" w:rsidRPr="00A92A3E">
        <w:rPr>
          <w:rFonts w:asciiTheme="minorHAnsi" w:hAnsiTheme="minorHAnsi" w:cstheme="minorHAnsi"/>
          <w:sz w:val="16"/>
          <w:szCs w:val="16"/>
        </w:rPr>
        <w:t>s</w:t>
      </w:r>
      <w:r w:rsidRPr="00A92A3E">
        <w:rPr>
          <w:rFonts w:asciiTheme="minorHAnsi" w:hAnsiTheme="minorHAnsi" w:cstheme="minorHAnsi"/>
          <w:sz w:val="16"/>
          <w:szCs w:val="16"/>
        </w:rPr>
        <w:t xml:space="preserve"> empréstimo</w:t>
      </w:r>
      <w:r w:rsidR="00492C2B" w:rsidRPr="00A92A3E">
        <w:rPr>
          <w:rFonts w:asciiTheme="minorHAnsi" w:hAnsiTheme="minorHAnsi" w:cstheme="minorHAnsi"/>
          <w:sz w:val="16"/>
          <w:szCs w:val="16"/>
        </w:rPr>
        <w:t>s</w:t>
      </w:r>
      <w:r w:rsidRPr="00A92A3E">
        <w:rPr>
          <w:rFonts w:asciiTheme="minorHAnsi" w:hAnsiTheme="minorHAnsi" w:cstheme="minorHAnsi"/>
          <w:sz w:val="16"/>
          <w:szCs w:val="16"/>
        </w:rPr>
        <w:t>.</w:t>
      </w:r>
      <w:r w:rsidR="0083497F" w:rsidRPr="00A92A3E">
        <w:rPr>
          <w:rFonts w:asciiTheme="minorHAnsi" w:hAnsiTheme="minorHAnsi" w:cstheme="minorHAnsi"/>
          <w:sz w:val="16"/>
          <w:szCs w:val="16"/>
        </w:rPr>
        <w:t xml:space="preserve"> </w:t>
      </w:r>
      <w:r w:rsidRPr="00A92A3E">
        <w:rPr>
          <w:rFonts w:asciiTheme="minorHAnsi" w:hAnsiTheme="minorHAnsi" w:cstheme="minorHAnsi"/>
          <w:sz w:val="16"/>
          <w:szCs w:val="16"/>
        </w:rPr>
        <w:t>Caso</w:t>
      </w:r>
      <w:r w:rsidR="0083497F" w:rsidRPr="00A92A3E">
        <w:rPr>
          <w:rFonts w:asciiTheme="minorHAnsi" w:hAnsiTheme="minorHAnsi" w:cstheme="minorHAnsi"/>
          <w:sz w:val="16"/>
          <w:szCs w:val="16"/>
        </w:rPr>
        <w:t xml:space="preserve"> o Ente Federativo</w:t>
      </w:r>
      <w:r w:rsidRPr="00A92A3E">
        <w:rPr>
          <w:rFonts w:asciiTheme="minorHAnsi" w:hAnsiTheme="minorHAnsi" w:cstheme="minorHAnsi"/>
          <w:sz w:val="16"/>
          <w:szCs w:val="16"/>
        </w:rPr>
        <w:t xml:space="preserve">, por qualquer motivo, não processe os descontos mensais, o </w:t>
      </w:r>
      <w:r w:rsidR="00FB4801" w:rsidRPr="00A92A3E">
        <w:rPr>
          <w:rFonts w:asciiTheme="minorHAnsi" w:hAnsiTheme="minorHAnsi" w:cstheme="minorHAnsi"/>
          <w:sz w:val="16"/>
          <w:szCs w:val="16"/>
        </w:rPr>
        <w:t>tomador</w:t>
      </w:r>
      <w:r w:rsidRPr="00A92A3E">
        <w:rPr>
          <w:rFonts w:asciiTheme="minorHAnsi" w:hAnsiTheme="minorHAnsi" w:cstheme="minorHAnsi"/>
          <w:sz w:val="16"/>
          <w:szCs w:val="16"/>
        </w:rPr>
        <w:t xml:space="preserve"> está obrigado a realizar</w:t>
      </w:r>
      <w:r w:rsidR="0083497F"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os pagamentos das prestações correspondentes diretamente ao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Para isso, deverá solicitar a emissão de boleto</w:t>
      </w:r>
      <w:r w:rsidR="005C37B0"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bancário em favor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com vencimento para o dia 5</w:t>
      </w:r>
      <w:r w:rsidR="009C5F62" w:rsidRPr="00A92A3E">
        <w:rPr>
          <w:rFonts w:asciiTheme="minorHAnsi" w:hAnsiTheme="minorHAnsi" w:cstheme="minorHAnsi"/>
          <w:sz w:val="16"/>
          <w:szCs w:val="16"/>
        </w:rPr>
        <w:t>º</w:t>
      </w:r>
      <w:r w:rsidRPr="00A92A3E">
        <w:rPr>
          <w:rFonts w:asciiTheme="minorHAnsi" w:hAnsiTheme="minorHAnsi" w:cstheme="minorHAnsi"/>
          <w:sz w:val="16"/>
          <w:szCs w:val="16"/>
        </w:rPr>
        <w:t xml:space="preserve"> (</w:t>
      </w:r>
      <w:r w:rsidR="009C5F62" w:rsidRPr="00A92A3E">
        <w:rPr>
          <w:rFonts w:asciiTheme="minorHAnsi" w:hAnsiTheme="minorHAnsi" w:cstheme="minorHAnsi"/>
          <w:sz w:val="16"/>
          <w:szCs w:val="16"/>
        </w:rPr>
        <w:t>quinto</w:t>
      </w:r>
      <w:r w:rsidRPr="00A92A3E">
        <w:rPr>
          <w:rFonts w:asciiTheme="minorHAnsi" w:hAnsiTheme="minorHAnsi" w:cstheme="minorHAnsi"/>
          <w:sz w:val="16"/>
          <w:szCs w:val="16"/>
        </w:rPr>
        <w:t xml:space="preserve">) </w:t>
      </w:r>
      <w:r w:rsidR="009C5F62" w:rsidRPr="00A92A3E">
        <w:rPr>
          <w:rFonts w:asciiTheme="minorHAnsi" w:hAnsiTheme="minorHAnsi" w:cstheme="minorHAnsi"/>
          <w:sz w:val="16"/>
          <w:szCs w:val="16"/>
        </w:rPr>
        <w:t xml:space="preserve">dia útil </w:t>
      </w:r>
      <w:r w:rsidRPr="00A92A3E">
        <w:rPr>
          <w:rFonts w:asciiTheme="minorHAnsi" w:hAnsiTheme="minorHAnsi" w:cstheme="minorHAnsi"/>
          <w:sz w:val="16"/>
          <w:szCs w:val="16"/>
        </w:rPr>
        <w:t>do mês subsequente ao que deveria ser realizado o</w:t>
      </w:r>
      <w:r w:rsidR="009C5F62" w:rsidRPr="00A92A3E">
        <w:rPr>
          <w:rFonts w:asciiTheme="minorHAnsi" w:hAnsiTheme="minorHAnsi" w:cstheme="minorHAnsi"/>
          <w:sz w:val="16"/>
          <w:szCs w:val="16"/>
        </w:rPr>
        <w:t xml:space="preserve"> </w:t>
      </w:r>
      <w:r w:rsidRPr="00A92A3E">
        <w:rPr>
          <w:rFonts w:asciiTheme="minorHAnsi" w:hAnsiTheme="minorHAnsi" w:cstheme="minorHAnsi"/>
          <w:sz w:val="16"/>
          <w:szCs w:val="16"/>
        </w:rPr>
        <w:t>desconto na folha de pagamento.</w:t>
      </w:r>
    </w:p>
    <w:p w14:paraId="351BBF5A" w14:textId="2B934D2D" w:rsidR="00C36EE0" w:rsidRPr="00A92A3E" w:rsidRDefault="00C36EE0" w:rsidP="00C36EE0">
      <w:pPr>
        <w:rPr>
          <w:rFonts w:asciiTheme="minorHAnsi" w:hAnsiTheme="minorHAnsi" w:cstheme="minorHAnsi"/>
          <w:sz w:val="16"/>
          <w:szCs w:val="16"/>
        </w:rPr>
      </w:pPr>
      <w:r w:rsidRPr="00A92A3E">
        <w:rPr>
          <w:rFonts w:asciiTheme="minorHAnsi" w:hAnsiTheme="minorHAnsi" w:cstheme="minorHAnsi"/>
          <w:sz w:val="16"/>
          <w:szCs w:val="16"/>
        </w:rPr>
        <w:t>Poderá ser determinado um outro meio de pagamento excepcional,</w:t>
      </w:r>
      <w:r w:rsidR="009C5F62" w:rsidRPr="00A92A3E">
        <w:rPr>
          <w:rFonts w:asciiTheme="minorHAnsi" w:hAnsiTheme="minorHAnsi" w:cstheme="minorHAnsi"/>
          <w:sz w:val="16"/>
          <w:szCs w:val="16"/>
        </w:rPr>
        <w:t xml:space="preserve"> </w:t>
      </w:r>
      <w:r w:rsidRPr="00A92A3E">
        <w:rPr>
          <w:rFonts w:asciiTheme="minorHAnsi" w:hAnsiTheme="minorHAnsi" w:cstheme="minorHAnsi"/>
          <w:sz w:val="16"/>
          <w:szCs w:val="16"/>
        </w:rPr>
        <w:t>desde que expressamente autorizado pelo</w:t>
      </w:r>
      <w:r w:rsidR="009C5F62" w:rsidRPr="00A92A3E">
        <w:rPr>
          <w:rFonts w:asciiTheme="minorHAnsi" w:hAnsiTheme="minorHAnsi" w:cstheme="minorHAnsi"/>
          <w:sz w:val="16"/>
          <w:szCs w:val="16"/>
        </w:rPr>
        <w:t xml:space="preserve">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sob pena de incorrer nos encargos de mora decorrentes da situação</w:t>
      </w:r>
      <w:r w:rsidR="009C5F62" w:rsidRPr="00A92A3E">
        <w:rPr>
          <w:rFonts w:asciiTheme="minorHAnsi" w:hAnsiTheme="minorHAnsi" w:cstheme="minorHAnsi"/>
          <w:sz w:val="16"/>
          <w:szCs w:val="16"/>
        </w:rPr>
        <w:t xml:space="preserve"> </w:t>
      </w:r>
      <w:r w:rsidRPr="00A92A3E">
        <w:rPr>
          <w:rFonts w:asciiTheme="minorHAnsi" w:hAnsiTheme="minorHAnsi" w:cstheme="minorHAnsi"/>
          <w:sz w:val="16"/>
          <w:szCs w:val="16"/>
        </w:rPr>
        <w:t>de contrato inadimplido.</w:t>
      </w:r>
    </w:p>
    <w:p w14:paraId="784409A6" w14:textId="5749329D" w:rsidR="009C5F62" w:rsidRPr="00A92A3E" w:rsidRDefault="00B40F3D" w:rsidP="00B40F3D">
      <w:pPr>
        <w:rPr>
          <w:rFonts w:asciiTheme="minorHAnsi" w:hAnsiTheme="minorHAnsi" w:cstheme="minorHAnsi"/>
          <w:sz w:val="16"/>
          <w:szCs w:val="16"/>
        </w:rPr>
      </w:pPr>
      <w:r w:rsidRPr="00A92A3E">
        <w:rPr>
          <w:rFonts w:asciiTheme="minorHAnsi" w:hAnsiTheme="minorHAnsi" w:cstheme="minorHAnsi"/>
          <w:sz w:val="16"/>
          <w:szCs w:val="16"/>
        </w:rPr>
        <w:t>Ocorrendo o atraso do pagamento de quaisquer prestações previstas no contrato de empréstimo, serão cobrados juros de mora e atualização monetária em percentual e índice definidos nesta Política de Investimentos, contados a partir da data do vencimento da prestação em atraso.</w:t>
      </w:r>
    </w:p>
    <w:p w14:paraId="3EBC9CE6" w14:textId="77F232E6" w:rsidR="00B40F3D" w:rsidRPr="00A92A3E" w:rsidRDefault="002A6915" w:rsidP="002A6915">
      <w:pPr>
        <w:rPr>
          <w:rFonts w:asciiTheme="minorHAnsi" w:hAnsiTheme="minorHAnsi" w:cstheme="minorHAnsi"/>
          <w:sz w:val="16"/>
          <w:szCs w:val="16"/>
        </w:rPr>
      </w:pPr>
      <w:r w:rsidRPr="00A92A3E">
        <w:rPr>
          <w:rFonts w:asciiTheme="minorHAnsi" w:hAnsiTheme="minorHAnsi" w:cstheme="minorHAnsi"/>
          <w:sz w:val="16"/>
          <w:szCs w:val="16"/>
        </w:rPr>
        <w:t>Os tomadores que atrasarem o pagamento de qualquer parcela do empréstimo serão considerados inadimplentes, incidindo sobre o valor devido juros de mora de 1% (um por cento) ao mês e correção monetária pelo IPCA ou outro índice que o venha substituir expressamente.</w:t>
      </w:r>
    </w:p>
    <w:p w14:paraId="4EACFDAD" w14:textId="40DE6BA8" w:rsidR="002A6915" w:rsidRPr="00A92A3E" w:rsidRDefault="001022E3" w:rsidP="001022E3">
      <w:pPr>
        <w:rPr>
          <w:rFonts w:asciiTheme="minorHAnsi" w:hAnsiTheme="minorHAnsi" w:cstheme="minorHAnsi"/>
          <w:sz w:val="16"/>
          <w:szCs w:val="16"/>
        </w:rPr>
      </w:pPr>
      <w:r w:rsidRPr="00A92A3E">
        <w:rPr>
          <w:rFonts w:asciiTheme="minorHAnsi" w:hAnsiTheme="minorHAnsi" w:cstheme="minorHAnsi"/>
          <w:sz w:val="16"/>
          <w:szCs w:val="16"/>
        </w:rPr>
        <w:t xml:space="preserve">Caso o servidor ativo passe a condição de aposentado, concederá </w:t>
      </w:r>
      <w:r w:rsidR="009472BC" w:rsidRPr="00A92A3E">
        <w:rPr>
          <w:rFonts w:asciiTheme="minorHAnsi" w:hAnsiTheme="minorHAnsi" w:cstheme="minorHAnsi"/>
          <w:sz w:val="16"/>
          <w:szCs w:val="16"/>
        </w:rPr>
        <w:t>ao</w:t>
      </w:r>
      <w:r w:rsidR="00F45B74" w:rsidRPr="00A92A3E">
        <w:rPr>
          <w:rFonts w:asciiTheme="minorHAnsi" w:hAnsiTheme="minorHAnsi" w:cstheme="minorHAnsi"/>
          <w:sz w:val="16"/>
          <w:szCs w:val="16"/>
        </w:rPr>
        <w:t xml:space="preserve">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00F45B74" w:rsidRPr="00A92A3E">
        <w:rPr>
          <w:rFonts w:asciiTheme="minorHAnsi" w:hAnsiTheme="minorHAnsi" w:cstheme="minorHAnsi"/>
          <w:sz w:val="16"/>
          <w:szCs w:val="16"/>
        </w:rPr>
        <w:t>autorização</w:t>
      </w:r>
      <w:r w:rsidRPr="00A92A3E">
        <w:rPr>
          <w:rFonts w:asciiTheme="minorHAnsi" w:hAnsiTheme="minorHAnsi" w:cstheme="minorHAnsi"/>
          <w:sz w:val="16"/>
          <w:szCs w:val="16"/>
        </w:rPr>
        <w:t xml:space="preserve"> expressa e irrevogável para</w:t>
      </w:r>
      <w:r w:rsidR="00734407" w:rsidRPr="00A92A3E">
        <w:rPr>
          <w:rFonts w:asciiTheme="minorHAnsi" w:hAnsiTheme="minorHAnsi" w:cstheme="minorHAnsi"/>
          <w:sz w:val="16"/>
          <w:szCs w:val="16"/>
        </w:rPr>
        <w:t xml:space="preserve"> </w:t>
      </w:r>
      <w:r w:rsidRPr="00A92A3E">
        <w:rPr>
          <w:rFonts w:asciiTheme="minorHAnsi" w:hAnsiTheme="minorHAnsi" w:cstheme="minorHAnsi"/>
          <w:sz w:val="16"/>
          <w:szCs w:val="16"/>
        </w:rPr>
        <w:t>descontar mensalmente, do valor do benefício a que fizer jus, as parcelas correspondentes às prestações do contrato,</w:t>
      </w:r>
      <w:r w:rsidR="00734407" w:rsidRPr="00A92A3E">
        <w:rPr>
          <w:rFonts w:asciiTheme="minorHAnsi" w:hAnsiTheme="minorHAnsi" w:cstheme="minorHAnsi"/>
          <w:sz w:val="16"/>
          <w:szCs w:val="16"/>
        </w:rPr>
        <w:t xml:space="preserve"> </w:t>
      </w:r>
      <w:r w:rsidRPr="00A92A3E">
        <w:rPr>
          <w:rFonts w:asciiTheme="minorHAnsi" w:hAnsiTheme="minorHAnsi" w:cstheme="minorHAnsi"/>
          <w:sz w:val="16"/>
          <w:szCs w:val="16"/>
        </w:rPr>
        <w:t>respeitando o valor da margem consignável a ser apurada com base na renda mensal do benefício.</w:t>
      </w:r>
    </w:p>
    <w:p w14:paraId="77482F70" w14:textId="336BB02C" w:rsidR="00734407" w:rsidRPr="00A92A3E" w:rsidRDefault="008532F2" w:rsidP="001022E3">
      <w:pPr>
        <w:rPr>
          <w:rFonts w:asciiTheme="minorHAnsi" w:hAnsiTheme="minorHAnsi" w:cstheme="minorHAnsi"/>
          <w:sz w:val="16"/>
          <w:szCs w:val="16"/>
        </w:rPr>
      </w:pPr>
      <w:r w:rsidRPr="00A92A3E">
        <w:rPr>
          <w:rFonts w:asciiTheme="minorHAnsi" w:hAnsiTheme="minorHAnsi" w:cstheme="minorHAnsi"/>
          <w:sz w:val="16"/>
          <w:szCs w:val="16"/>
        </w:rPr>
        <w:t>Obtida a informação do óbito do tomador, que poderá ser prestada pelo Ente Federativo ou familiar, o contrato de empréstimo será quitado mediante apresentação da Certidão de Óbito e o processo de cobrança cessado imediatamente.</w:t>
      </w:r>
    </w:p>
    <w:p w14:paraId="01944EF4" w14:textId="5291AEE8" w:rsidR="008532F2" w:rsidRPr="00A92A3E" w:rsidRDefault="006902CD" w:rsidP="006902CD">
      <w:pPr>
        <w:rPr>
          <w:rFonts w:asciiTheme="minorHAnsi" w:hAnsiTheme="minorHAnsi" w:cstheme="minorHAnsi"/>
          <w:sz w:val="16"/>
          <w:szCs w:val="16"/>
        </w:rPr>
      </w:pPr>
      <w:r w:rsidRPr="00A92A3E">
        <w:rPr>
          <w:rFonts w:asciiTheme="minorHAnsi" w:hAnsiTheme="minorHAnsi" w:cstheme="minorHAnsi"/>
          <w:sz w:val="16"/>
          <w:szCs w:val="16"/>
        </w:rPr>
        <w:t>Para a cobrança judicial e extrajudicial poderão ser contratadas empresas terceirizadas para auxiliar na atividade, como por exemplo, escritórios jurídicos ou o próprio intermediador pela operação.</w:t>
      </w:r>
    </w:p>
    <w:p w14:paraId="3195A16D" w14:textId="14C2D65A" w:rsidR="00700C52" w:rsidRPr="00A92A3E" w:rsidRDefault="00821362" w:rsidP="0072415A">
      <w:pPr>
        <w:rPr>
          <w:rFonts w:asciiTheme="minorHAnsi" w:hAnsiTheme="minorHAnsi" w:cstheme="minorHAnsi"/>
          <w:sz w:val="16"/>
          <w:szCs w:val="16"/>
        </w:rPr>
      </w:pPr>
      <w:r w:rsidRPr="00A92A3E">
        <w:rPr>
          <w:rFonts w:asciiTheme="minorHAnsi" w:hAnsiTheme="minorHAnsi" w:cstheme="minorHAnsi"/>
          <w:sz w:val="16"/>
          <w:szCs w:val="16"/>
        </w:rPr>
        <w:t xml:space="preserve">No processo de manutenção e/ou implantação da modalidade Empréstimo Consignado, não serão considerados </w:t>
      </w:r>
      <w:r w:rsidR="00981A01" w:rsidRPr="00A92A3E">
        <w:rPr>
          <w:rFonts w:asciiTheme="minorHAnsi" w:hAnsiTheme="minorHAnsi" w:cstheme="minorHAnsi"/>
          <w:sz w:val="16"/>
          <w:szCs w:val="16"/>
        </w:rPr>
        <w:t xml:space="preserve">inconformidades e/ou </w:t>
      </w:r>
      <w:r w:rsidRPr="00A92A3E">
        <w:rPr>
          <w:rFonts w:asciiTheme="minorHAnsi" w:hAnsiTheme="minorHAnsi" w:cstheme="minorHAnsi"/>
          <w:sz w:val="16"/>
          <w:szCs w:val="16"/>
        </w:rPr>
        <w:t xml:space="preserve">desenquadramentos qualquer </w:t>
      </w:r>
      <w:r w:rsidR="00421FBB" w:rsidRPr="00A92A3E">
        <w:rPr>
          <w:rFonts w:asciiTheme="minorHAnsi" w:hAnsiTheme="minorHAnsi" w:cstheme="minorHAnsi"/>
          <w:sz w:val="16"/>
          <w:szCs w:val="16"/>
        </w:rPr>
        <w:t xml:space="preserve">limite ou </w:t>
      </w:r>
      <w:r w:rsidRPr="00A92A3E">
        <w:rPr>
          <w:rFonts w:asciiTheme="minorHAnsi" w:hAnsiTheme="minorHAnsi" w:cstheme="minorHAnsi"/>
          <w:sz w:val="16"/>
          <w:szCs w:val="16"/>
        </w:rPr>
        <w:t xml:space="preserve">regra cima citada, tendo 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prazo de </w:t>
      </w:r>
      <w:r w:rsidR="00421FBB" w:rsidRPr="00A92A3E">
        <w:rPr>
          <w:rFonts w:asciiTheme="minorHAnsi" w:hAnsiTheme="minorHAnsi" w:cstheme="minorHAnsi"/>
          <w:b/>
          <w:bCs/>
          <w:sz w:val="16"/>
          <w:szCs w:val="16"/>
        </w:rPr>
        <w:t>12</w:t>
      </w:r>
      <w:r w:rsidRPr="00A92A3E">
        <w:rPr>
          <w:rFonts w:asciiTheme="minorHAnsi" w:hAnsiTheme="minorHAnsi" w:cstheme="minorHAnsi"/>
          <w:b/>
          <w:bCs/>
          <w:sz w:val="16"/>
          <w:szCs w:val="16"/>
        </w:rPr>
        <w:t>0 (</w:t>
      </w:r>
      <w:r w:rsidR="00421FBB" w:rsidRPr="00A92A3E">
        <w:rPr>
          <w:rFonts w:asciiTheme="minorHAnsi" w:hAnsiTheme="minorHAnsi" w:cstheme="minorHAnsi"/>
          <w:b/>
          <w:bCs/>
          <w:sz w:val="16"/>
          <w:szCs w:val="16"/>
        </w:rPr>
        <w:t>cento e vinte</w:t>
      </w:r>
      <w:r w:rsidRPr="00A92A3E">
        <w:rPr>
          <w:rFonts w:asciiTheme="minorHAnsi" w:hAnsiTheme="minorHAnsi" w:cstheme="minorHAnsi"/>
          <w:b/>
          <w:bCs/>
          <w:sz w:val="16"/>
          <w:szCs w:val="16"/>
        </w:rPr>
        <w:t>) dias</w:t>
      </w:r>
      <w:r w:rsidRPr="00A92A3E">
        <w:rPr>
          <w:rFonts w:asciiTheme="minorHAnsi" w:hAnsiTheme="minorHAnsi" w:cstheme="minorHAnsi"/>
          <w:sz w:val="16"/>
          <w:szCs w:val="16"/>
        </w:rPr>
        <w:t xml:space="preserve"> para revisão e adequação da sua Política de Investimentos em atendimento aos novos parâmetros</w:t>
      </w:r>
      <w:r w:rsidR="003C0CD0" w:rsidRPr="00A92A3E">
        <w:rPr>
          <w:rFonts w:asciiTheme="minorHAnsi" w:hAnsiTheme="minorHAnsi" w:cstheme="minorHAnsi"/>
          <w:sz w:val="16"/>
          <w:szCs w:val="16"/>
        </w:rPr>
        <w:t xml:space="preserve"> normativos e os que vierem a substituí-los</w:t>
      </w:r>
      <w:r w:rsidRPr="00A92A3E">
        <w:rPr>
          <w:rFonts w:asciiTheme="minorHAnsi" w:hAnsiTheme="minorHAnsi" w:cstheme="minorHAnsi"/>
          <w:bCs/>
          <w:sz w:val="16"/>
          <w:szCs w:val="16"/>
        </w:rPr>
        <w:t>.</w:t>
      </w:r>
    </w:p>
    <w:p w14:paraId="06A120F6" w14:textId="63222B07" w:rsidR="00500AE2" w:rsidRPr="00A92A3E" w:rsidRDefault="00500AE2" w:rsidP="00F57C97">
      <w:pPr>
        <w:pStyle w:val="Ttulo1"/>
        <w:rPr>
          <w:rFonts w:asciiTheme="minorHAnsi" w:hAnsiTheme="minorHAnsi" w:cstheme="minorHAnsi"/>
          <w:sz w:val="16"/>
          <w:szCs w:val="16"/>
        </w:rPr>
      </w:pPr>
      <w:bookmarkStart w:id="90" w:name="_Toc150330295"/>
      <w:r w:rsidRPr="00A92A3E">
        <w:rPr>
          <w:rFonts w:asciiTheme="minorHAnsi" w:hAnsiTheme="minorHAnsi" w:cstheme="minorHAnsi"/>
          <w:sz w:val="16"/>
          <w:szCs w:val="16"/>
        </w:rPr>
        <w:t>CONTROLE DE RISCO</w:t>
      </w:r>
      <w:bookmarkEnd w:id="31"/>
      <w:bookmarkEnd w:id="32"/>
      <w:bookmarkEnd w:id="89"/>
      <w:bookmarkEnd w:id="90"/>
    </w:p>
    <w:p w14:paraId="6E7A3DB1" w14:textId="699B400D"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sz w:val="16"/>
          <w:szCs w:val="16"/>
        </w:rPr>
        <w:t>Diante da metodologia e os critérios a serem adotados ao analisar os riscos dos investimentos, assim como as diretrizes para seu controle e monitoramento, é necessário observar a avaliação dos riscos de crédito, mercado, liquidez, operacional, legal, sistêmico e outros específicos a cada operação e tolerância a esses riscos.</w:t>
      </w:r>
    </w:p>
    <w:p w14:paraId="4556218E" w14:textId="571EEC6B" w:rsidR="00F57C97" w:rsidRPr="00A92A3E" w:rsidRDefault="00500AE2" w:rsidP="00F57C97">
      <w:pPr>
        <w:rPr>
          <w:rFonts w:asciiTheme="minorHAnsi" w:hAnsiTheme="minorHAnsi" w:cstheme="minorHAnsi"/>
          <w:sz w:val="16"/>
          <w:szCs w:val="16"/>
        </w:rPr>
      </w:pPr>
      <w:r w:rsidRPr="00A92A3E">
        <w:rPr>
          <w:rFonts w:asciiTheme="minorHAnsi" w:hAnsiTheme="minorHAnsi" w:cstheme="minorHAnsi"/>
          <w:bCs/>
          <w:sz w:val="16"/>
          <w:szCs w:val="16"/>
        </w:rPr>
        <w:t xml:space="preserve">As aplicações financeiras estão sujeitas à incidência de fatores de risco que podem afetar adversamente o seu retorno, e consequentemente, fica 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obrigado a exercer o acompanhamento e o controle sobre esses riscos, considerando entre eles:</w:t>
      </w:r>
    </w:p>
    <w:p w14:paraId="1C6B6F7D" w14:textId="77777777" w:rsidR="00F57C97" w:rsidRPr="00A92A3E" w:rsidRDefault="00500AE2" w:rsidP="00F5523C">
      <w:pPr>
        <w:pStyle w:val="PargrafodaLista"/>
        <w:numPr>
          <w:ilvl w:val="0"/>
          <w:numId w:val="12"/>
        </w:numPr>
        <w:rPr>
          <w:rFonts w:asciiTheme="minorHAnsi" w:hAnsiTheme="minorHAnsi" w:cstheme="minorHAnsi"/>
          <w:sz w:val="16"/>
          <w:szCs w:val="16"/>
        </w:rPr>
      </w:pPr>
      <w:r w:rsidRPr="00A92A3E">
        <w:rPr>
          <w:rFonts w:asciiTheme="minorHAnsi" w:hAnsiTheme="minorHAnsi" w:cstheme="minorHAnsi"/>
          <w:b/>
          <w:bCs/>
          <w:sz w:val="16"/>
          <w:szCs w:val="16"/>
        </w:rPr>
        <w:t>Risco de Mercado</w:t>
      </w:r>
      <w:r w:rsidRPr="00A92A3E">
        <w:rPr>
          <w:rFonts w:asciiTheme="minorHAnsi" w:hAnsiTheme="minorHAnsi" w:cstheme="minorHAnsi"/>
          <w:bCs/>
          <w:sz w:val="16"/>
          <w:szCs w:val="16"/>
        </w:rPr>
        <w:t xml:space="preserve"> – é o risco inerente a todas as modalidades de aplicações financeiras disponíveis no mercado financeiro; corresponde à incerteza em relação ao resultado de um investimento financeiro ou de uma carteira de investimento, em decorrência de mudanças futuras nas condições de mercado. É o risco de variações, oscilações nas </w:t>
      </w:r>
      <w:r w:rsidRPr="00A92A3E">
        <w:rPr>
          <w:rFonts w:asciiTheme="minorHAnsi" w:hAnsiTheme="minorHAnsi" w:cstheme="minorHAnsi"/>
          <w:bCs/>
          <w:sz w:val="16"/>
          <w:szCs w:val="16"/>
        </w:rPr>
        <w:lastRenderedPageBreak/>
        <w:t>taxas e preços de mercado, tais como taxa de juros, preços de ações e outros índices. É ligado às oscilações do mercado financeiro.</w:t>
      </w:r>
    </w:p>
    <w:p w14:paraId="116BFC74" w14:textId="77777777" w:rsidR="00F57C97" w:rsidRPr="00A92A3E" w:rsidRDefault="00F57C97" w:rsidP="00F57C97">
      <w:pPr>
        <w:pStyle w:val="PargrafodaLista"/>
        <w:rPr>
          <w:rFonts w:asciiTheme="minorHAnsi" w:hAnsiTheme="minorHAnsi" w:cstheme="minorHAnsi"/>
          <w:sz w:val="16"/>
          <w:szCs w:val="16"/>
        </w:rPr>
      </w:pPr>
    </w:p>
    <w:p w14:paraId="08758127" w14:textId="733ECC18" w:rsidR="00281D40" w:rsidRPr="00A92A3E" w:rsidRDefault="00500AE2" w:rsidP="00F5523C">
      <w:pPr>
        <w:pStyle w:val="PargrafodaLista"/>
        <w:numPr>
          <w:ilvl w:val="0"/>
          <w:numId w:val="12"/>
        </w:numPr>
        <w:rPr>
          <w:rFonts w:asciiTheme="minorHAnsi" w:hAnsiTheme="minorHAnsi" w:cstheme="minorHAnsi"/>
          <w:sz w:val="16"/>
          <w:szCs w:val="16"/>
        </w:rPr>
      </w:pPr>
      <w:r w:rsidRPr="00A92A3E">
        <w:rPr>
          <w:rFonts w:asciiTheme="minorHAnsi" w:hAnsiTheme="minorHAnsi" w:cstheme="minorHAnsi"/>
          <w:b/>
          <w:bCs/>
          <w:sz w:val="16"/>
          <w:szCs w:val="16"/>
        </w:rPr>
        <w:t>Risco de Crédito</w:t>
      </w:r>
      <w:r w:rsidRPr="00A92A3E">
        <w:rPr>
          <w:rFonts w:asciiTheme="minorHAnsi" w:hAnsiTheme="minorHAnsi" w:cstheme="minorHAnsi"/>
          <w:bCs/>
          <w:sz w:val="16"/>
          <w:szCs w:val="16"/>
        </w:rPr>
        <w:t xml:space="preserve"> - também conhecido como risco institucional ou de contraparte, é aquele em que há a possibilidade de o retorno de investimento não ser honrado pela instituição que emitiu determinado título, na data e nas condições negociadas e contratadas</w:t>
      </w:r>
      <w:r w:rsidR="00281D40" w:rsidRPr="00A92A3E">
        <w:rPr>
          <w:rFonts w:asciiTheme="minorHAnsi" w:hAnsiTheme="minorHAnsi" w:cstheme="minorHAnsi"/>
          <w:sz w:val="16"/>
          <w:szCs w:val="16"/>
        </w:rPr>
        <w:t>.</w:t>
      </w:r>
    </w:p>
    <w:p w14:paraId="1EE86F51" w14:textId="77777777" w:rsidR="00281D40" w:rsidRPr="00A92A3E" w:rsidRDefault="00281D40" w:rsidP="00281D40">
      <w:pPr>
        <w:pStyle w:val="PargrafodaLista"/>
        <w:rPr>
          <w:rFonts w:asciiTheme="minorHAnsi" w:hAnsiTheme="minorHAnsi" w:cstheme="minorHAnsi"/>
          <w:b/>
          <w:bCs/>
          <w:sz w:val="16"/>
          <w:szCs w:val="16"/>
        </w:rPr>
      </w:pPr>
    </w:p>
    <w:p w14:paraId="6AA093C4" w14:textId="28D7B01B" w:rsidR="00500AE2" w:rsidRPr="00A92A3E" w:rsidRDefault="00500AE2" w:rsidP="00F5523C">
      <w:pPr>
        <w:pStyle w:val="PargrafodaLista"/>
        <w:numPr>
          <w:ilvl w:val="0"/>
          <w:numId w:val="12"/>
        </w:numPr>
        <w:rPr>
          <w:rFonts w:asciiTheme="minorHAnsi" w:hAnsiTheme="minorHAnsi" w:cstheme="minorHAnsi"/>
          <w:sz w:val="16"/>
          <w:szCs w:val="16"/>
        </w:rPr>
      </w:pPr>
      <w:r w:rsidRPr="00A92A3E">
        <w:rPr>
          <w:rFonts w:asciiTheme="minorHAnsi" w:hAnsiTheme="minorHAnsi" w:cstheme="minorHAnsi"/>
          <w:b/>
          <w:bCs/>
          <w:sz w:val="16"/>
          <w:szCs w:val="16"/>
        </w:rPr>
        <w:t>Risco de Liquidez</w:t>
      </w:r>
      <w:r w:rsidRPr="00A92A3E">
        <w:rPr>
          <w:rFonts w:asciiTheme="minorHAnsi" w:hAnsiTheme="minorHAnsi" w:cstheme="minorHAnsi"/>
          <w:bCs/>
          <w:sz w:val="16"/>
          <w:szCs w:val="16"/>
        </w:rPr>
        <w:t xml:space="preserve"> - surge da dificuldade em se conseguir encontrar compradores potenciais de um determinado ativo no momento e no preço desejado. Ocorre quando um ativo está com baixo volume de neg</w:t>
      </w:r>
      <w:r w:rsidR="00E73155" w:rsidRPr="00A92A3E">
        <w:rPr>
          <w:rFonts w:asciiTheme="minorHAnsi" w:hAnsiTheme="minorHAnsi" w:cstheme="minorHAnsi"/>
          <w:bCs/>
          <w:sz w:val="16"/>
          <w:szCs w:val="16"/>
        </w:rPr>
        <w:t>ociação</w:t>
      </w:r>
      <w:r w:rsidRPr="00A92A3E">
        <w:rPr>
          <w:rFonts w:asciiTheme="minorHAnsi" w:hAnsiTheme="minorHAnsi" w:cstheme="minorHAnsi"/>
          <w:bCs/>
          <w:sz w:val="16"/>
          <w:szCs w:val="16"/>
        </w:rPr>
        <w:t xml:space="preserve">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bookmarkStart w:id="91" w:name="_Toc435189693"/>
      <w:bookmarkStart w:id="92" w:name="_Toc435202751"/>
      <w:bookmarkStart w:id="93" w:name="_Toc490036557"/>
      <w:r w:rsidRPr="00A92A3E">
        <w:rPr>
          <w:rFonts w:asciiTheme="minorHAnsi" w:hAnsiTheme="minorHAnsi" w:cstheme="minorHAnsi"/>
          <w:sz w:val="16"/>
          <w:szCs w:val="16"/>
        </w:rPr>
        <w:t>.</w:t>
      </w:r>
    </w:p>
    <w:p w14:paraId="34D313A2" w14:textId="77777777" w:rsidR="00677C33" w:rsidRPr="00A92A3E" w:rsidRDefault="00677C33" w:rsidP="00677C33">
      <w:pPr>
        <w:pStyle w:val="PargrafodaLista"/>
        <w:rPr>
          <w:rFonts w:asciiTheme="minorHAnsi" w:hAnsiTheme="minorHAnsi" w:cstheme="minorHAnsi"/>
          <w:sz w:val="16"/>
          <w:szCs w:val="16"/>
        </w:rPr>
      </w:pPr>
    </w:p>
    <w:p w14:paraId="542E9DC1" w14:textId="10A0DC2B" w:rsidR="00677C33" w:rsidRPr="00A92A3E" w:rsidRDefault="00677C33" w:rsidP="00F5523C">
      <w:pPr>
        <w:pStyle w:val="PargrafodaLista"/>
        <w:numPr>
          <w:ilvl w:val="0"/>
          <w:numId w:val="12"/>
        </w:numPr>
        <w:rPr>
          <w:rFonts w:asciiTheme="minorHAnsi" w:hAnsiTheme="minorHAnsi" w:cstheme="minorHAnsi"/>
          <w:sz w:val="16"/>
          <w:szCs w:val="16"/>
        </w:rPr>
      </w:pPr>
      <w:r w:rsidRPr="00A92A3E">
        <w:rPr>
          <w:rFonts w:asciiTheme="minorHAnsi" w:hAnsiTheme="minorHAnsi" w:cstheme="minorHAnsi"/>
          <w:b/>
          <w:bCs/>
          <w:sz w:val="16"/>
          <w:szCs w:val="16"/>
        </w:rPr>
        <w:t>Risco Operacional</w:t>
      </w:r>
      <w:r w:rsidR="009242A6" w:rsidRPr="00A92A3E">
        <w:rPr>
          <w:rFonts w:asciiTheme="minorHAnsi" w:hAnsiTheme="minorHAnsi" w:cstheme="minorHAnsi"/>
          <w:sz w:val="16"/>
          <w:szCs w:val="16"/>
        </w:rPr>
        <w:t xml:space="preserve"> – </w:t>
      </w:r>
      <w:r w:rsidR="00DB58C8" w:rsidRPr="00A92A3E">
        <w:rPr>
          <w:rFonts w:asciiTheme="minorHAnsi" w:hAnsiTheme="minorHAnsi" w:cstheme="minorHAnsi"/>
          <w:sz w:val="16"/>
          <w:szCs w:val="16"/>
        </w:rPr>
        <w:t xml:space="preserve">é o risco de perdas </w:t>
      </w:r>
      <w:r w:rsidR="00AA7464" w:rsidRPr="00A92A3E">
        <w:rPr>
          <w:rFonts w:asciiTheme="minorHAnsi" w:hAnsiTheme="minorHAnsi" w:cstheme="minorHAnsi"/>
          <w:sz w:val="16"/>
          <w:szCs w:val="16"/>
        </w:rPr>
        <w:t xml:space="preserve">financeiras </w:t>
      </w:r>
      <w:r w:rsidR="00DB58C8" w:rsidRPr="00A92A3E">
        <w:rPr>
          <w:rFonts w:asciiTheme="minorHAnsi" w:hAnsiTheme="minorHAnsi" w:cstheme="minorHAnsi"/>
          <w:sz w:val="16"/>
          <w:szCs w:val="16"/>
        </w:rPr>
        <w:t xml:space="preserve">causadas por </w:t>
      </w:r>
      <w:r w:rsidR="00AA7464" w:rsidRPr="00A92A3E">
        <w:rPr>
          <w:rFonts w:asciiTheme="minorHAnsi" w:hAnsiTheme="minorHAnsi" w:cstheme="minorHAnsi"/>
          <w:sz w:val="16"/>
          <w:szCs w:val="16"/>
        </w:rPr>
        <w:t xml:space="preserve">erros em </w:t>
      </w:r>
      <w:r w:rsidR="00DB58C8" w:rsidRPr="00A92A3E">
        <w:rPr>
          <w:rFonts w:asciiTheme="minorHAnsi" w:hAnsiTheme="minorHAnsi" w:cstheme="minorHAnsi"/>
          <w:sz w:val="16"/>
          <w:szCs w:val="16"/>
        </w:rPr>
        <w:t xml:space="preserve">processos, políticas, sistemas ou eventos falhos ou </w:t>
      </w:r>
      <w:r w:rsidR="00632ABD" w:rsidRPr="00A92A3E">
        <w:rPr>
          <w:rFonts w:asciiTheme="minorHAnsi" w:hAnsiTheme="minorHAnsi" w:cstheme="minorHAnsi"/>
          <w:sz w:val="16"/>
          <w:szCs w:val="16"/>
        </w:rPr>
        <w:t xml:space="preserve">falhas </w:t>
      </w:r>
      <w:r w:rsidR="00DB58C8" w:rsidRPr="00A92A3E">
        <w:rPr>
          <w:rFonts w:asciiTheme="minorHAnsi" w:hAnsiTheme="minorHAnsi" w:cstheme="minorHAnsi"/>
          <w:sz w:val="16"/>
          <w:szCs w:val="16"/>
        </w:rPr>
        <w:t>que interrompem as operações de negócios. Erros de funcionários, atividades criminosas como fraudes e eventos físicos estão entre os fatores que podem desencadear o risco operacional.</w:t>
      </w:r>
      <w:r w:rsidR="00A373BA" w:rsidRPr="00A92A3E">
        <w:rPr>
          <w:rFonts w:asciiTheme="minorHAnsi" w:hAnsiTheme="minorHAnsi" w:cstheme="minorHAnsi"/>
          <w:sz w:val="16"/>
          <w:szCs w:val="16"/>
        </w:rPr>
        <w:t xml:space="preserve"> Em outras palavras, o risco operacional é qualquer ameaça que possa afetar o funcionamento do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00A373BA" w:rsidRPr="00A92A3E">
        <w:rPr>
          <w:rFonts w:asciiTheme="minorHAnsi" w:hAnsiTheme="minorHAnsi" w:cstheme="minorHAnsi"/>
          <w:sz w:val="16"/>
          <w:szCs w:val="16"/>
        </w:rPr>
        <w:t>e reduzir a qualidade operacional como um todo.</w:t>
      </w:r>
    </w:p>
    <w:p w14:paraId="2EE51394" w14:textId="77777777" w:rsidR="009242A6" w:rsidRPr="00A92A3E" w:rsidRDefault="009242A6" w:rsidP="009242A6">
      <w:pPr>
        <w:pStyle w:val="PargrafodaLista"/>
        <w:rPr>
          <w:rFonts w:asciiTheme="minorHAnsi" w:hAnsiTheme="minorHAnsi" w:cstheme="minorHAnsi"/>
          <w:sz w:val="16"/>
          <w:szCs w:val="16"/>
        </w:rPr>
      </w:pPr>
    </w:p>
    <w:p w14:paraId="38A9FDD9" w14:textId="0E3E809A" w:rsidR="00635488" w:rsidRPr="0072415A" w:rsidRDefault="009242A6" w:rsidP="00184B6A">
      <w:pPr>
        <w:pStyle w:val="PargrafodaLista"/>
        <w:numPr>
          <w:ilvl w:val="0"/>
          <w:numId w:val="12"/>
        </w:numPr>
        <w:rPr>
          <w:rFonts w:asciiTheme="minorHAnsi" w:hAnsiTheme="minorHAnsi" w:cstheme="minorHAnsi"/>
          <w:sz w:val="16"/>
          <w:szCs w:val="16"/>
        </w:rPr>
      </w:pPr>
      <w:r w:rsidRPr="0072415A">
        <w:rPr>
          <w:rFonts w:asciiTheme="minorHAnsi" w:hAnsiTheme="minorHAnsi" w:cstheme="minorHAnsi"/>
          <w:b/>
          <w:bCs/>
          <w:sz w:val="16"/>
          <w:szCs w:val="16"/>
        </w:rPr>
        <w:t>Risco Legal</w:t>
      </w:r>
      <w:r w:rsidR="00313901" w:rsidRPr="0072415A">
        <w:rPr>
          <w:rFonts w:asciiTheme="minorHAnsi" w:hAnsiTheme="minorHAnsi" w:cstheme="minorHAnsi"/>
          <w:sz w:val="16"/>
          <w:szCs w:val="16"/>
        </w:rPr>
        <w:t xml:space="preserve"> - </w:t>
      </w:r>
      <w:r w:rsidR="00FC64EA" w:rsidRPr="0072415A">
        <w:rPr>
          <w:rFonts w:asciiTheme="minorHAnsi" w:hAnsiTheme="minorHAnsi" w:cstheme="minorHAnsi"/>
          <w:sz w:val="16"/>
          <w:szCs w:val="16"/>
        </w:rPr>
        <w:t xml:space="preserve">O risco legal é a possibilidade de uma organização sofrer perdas financeiras ou de reputação como resultado de uma violação da lei ou de um processo legal. Isso pode ser causado por uma variedade de fatores. </w:t>
      </w:r>
      <w:r w:rsidR="00A46BEE" w:rsidRPr="0072415A">
        <w:rPr>
          <w:rFonts w:asciiTheme="minorHAnsi" w:hAnsiTheme="minorHAnsi" w:cstheme="minorHAnsi"/>
          <w:sz w:val="16"/>
          <w:szCs w:val="16"/>
        </w:rPr>
        <w:t xml:space="preserve">O risco legal pode ter um impacto significativo nas operações podendo levar a multas, indenizações, </w:t>
      </w:r>
      <w:r w:rsidR="00BE63D6" w:rsidRPr="0072415A">
        <w:rPr>
          <w:rFonts w:asciiTheme="minorHAnsi" w:hAnsiTheme="minorHAnsi" w:cstheme="minorHAnsi"/>
          <w:sz w:val="16"/>
          <w:szCs w:val="16"/>
        </w:rPr>
        <w:t>sindicâncias e processos administrativos</w:t>
      </w:r>
      <w:r w:rsidR="00A46BEE" w:rsidRPr="0072415A">
        <w:rPr>
          <w:rFonts w:asciiTheme="minorHAnsi" w:hAnsiTheme="minorHAnsi" w:cstheme="minorHAnsi"/>
          <w:sz w:val="16"/>
          <w:szCs w:val="16"/>
        </w:rPr>
        <w:t>.</w:t>
      </w:r>
    </w:p>
    <w:p w14:paraId="2D51C788" w14:textId="04D06AAD" w:rsidR="00500AE2" w:rsidRPr="00A92A3E" w:rsidRDefault="00281D40" w:rsidP="00281D40">
      <w:pPr>
        <w:pStyle w:val="Ttulo2"/>
        <w:rPr>
          <w:rFonts w:asciiTheme="minorHAnsi" w:hAnsiTheme="minorHAnsi" w:cstheme="minorHAnsi"/>
          <w:sz w:val="16"/>
          <w:szCs w:val="16"/>
        </w:rPr>
      </w:pPr>
      <w:bookmarkStart w:id="94" w:name="_Toc118105148"/>
      <w:r w:rsidRPr="00A92A3E">
        <w:rPr>
          <w:rFonts w:asciiTheme="minorHAnsi" w:hAnsiTheme="minorHAnsi" w:cstheme="minorHAnsi"/>
          <w:sz w:val="16"/>
          <w:szCs w:val="16"/>
        </w:rPr>
        <w:t>C</w:t>
      </w:r>
      <w:bookmarkEnd w:id="91"/>
      <w:r w:rsidRPr="00A92A3E">
        <w:rPr>
          <w:rFonts w:asciiTheme="minorHAnsi" w:hAnsiTheme="minorHAnsi" w:cstheme="minorHAnsi"/>
          <w:sz w:val="16"/>
          <w:szCs w:val="16"/>
        </w:rPr>
        <w:t>ontrole do Risco de Mercado</w:t>
      </w:r>
      <w:bookmarkEnd w:id="92"/>
      <w:bookmarkEnd w:id="93"/>
      <w:bookmarkEnd w:id="94"/>
    </w:p>
    <w:p w14:paraId="7D7533AC" w14:textId="5190A8AD" w:rsidR="00281D40" w:rsidRPr="00A92A3E" w:rsidRDefault="00500AE2" w:rsidP="00281D40">
      <w:pPr>
        <w:rPr>
          <w:rFonts w:asciiTheme="minorHAnsi" w:hAnsiTheme="minorHAnsi" w:cstheme="minorHAnsi"/>
          <w:bCs/>
          <w:sz w:val="16"/>
          <w:szCs w:val="16"/>
        </w:rPr>
      </w:pPr>
      <w:r w:rsidRPr="00A92A3E">
        <w:rPr>
          <w:rFonts w:asciiTheme="minorHAnsi" w:hAnsiTheme="minorHAnsi" w:cstheme="minorHAnsi"/>
          <w:bCs/>
          <w:sz w:val="16"/>
          <w:szCs w:val="16"/>
        </w:rPr>
        <w:t xml:space="preserve">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 xml:space="preserve">adota o </w:t>
      </w:r>
      <w:r w:rsidRPr="00A92A3E">
        <w:rPr>
          <w:rFonts w:asciiTheme="minorHAnsi" w:hAnsiTheme="minorHAnsi" w:cstheme="minorHAnsi"/>
          <w:b/>
          <w:bCs/>
          <w:sz w:val="16"/>
          <w:szCs w:val="16"/>
        </w:rPr>
        <w:t xml:space="preserve">VaR - </w:t>
      </w:r>
      <w:r w:rsidRPr="00A92A3E">
        <w:rPr>
          <w:rFonts w:asciiTheme="minorHAnsi" w:hAnsiTheme="minorHAnsi" w:cstheme="minorHAnsi"/>
          <w:b/>
          <w:bCs/>
          <w:i/>
          <w:iCs/>
          <w:sz w:val="16"/>
          <w:szCs w:val="16"/>
        </w:rPr>
        <w:t>Value-at-Risk</w:t>
      </w:r>
      <w:r w:rsidRPr="00A92A3E">
        <w:rPr>
          <w:rFonts w:asciiTheme="minorHAnsi" w:hAnsiTheme="minorHAnsi" w:cstheme="minorHAnsi"/>
          <w:bCs/>
          <w:sz w:val="16"/>
          <w:szCs w:val="16"/>
        </w:rPr>
        <w:t xml:space="preserve"> para controle do risco de mercado, utilizando os seguintes parâmetros para o cálculo:</w:t>
      </w:r>
    </w:p>
    <w:p w14:paraId="6E0542B7" w14:textId="77777777" w:rsidR="00066FCC" w:rsidRPr="00A92A3E" w:rsidRDefault="00500AE2" w:rsidP="00F5523C">
      <w:pPr>
        <w:pStyle w:val="PargrafodaLista"/>
        <w:numPr>
          <w:ilvl w:val="0"/>
          <w:numId w:val="25"/>
        </w:numPr>
        <w:rPr>
          <w:rFonts w:asciiTheme="minorHAnsi" w:hAnsiTheme="minorHAnsi" w:cstheme="minorHAnsi"/>
          <w:sz w:val="16"/>
          <w:szCs w:val="16"/>
        </w:rPr>
      </w:pPr>
      <w:r w:rsidRPr="00A92A3E">
        <w:rPr>
          <w:rFonts w:asciiTheme="minorHAnsi" w:hAnsiTheme="minorHAnsi" w:cstheme="minorHAnsi"/>
          <w:sz w:val="16"/>
          <w:szCs w:val="16"/>
        </w:rPr>
        <w:t>Modelo paramétrico;</w:t>
      </w:r>
    </w:p>
    <w:p w14:paraId="72BD3BCD" w14:textId="77777777" w:rsidR="00771128" w:rsidRPr="00A92A3E" w:rsidRDefault="00771128" w:rsidP="00771128">
      <w:pPr>
        <w:pStyle w:val="PargrafodaLista"/>
        <w:rPr>
          <w:rFonts w:asciiTheme="minorHAnsi" w:hAnsiTheme="minorHAnsi" w:cstheme="minorHAnsi"/>
          <w:sz w:val="16"/>
          <w:szCs w:val="16"/>
        </w:rPr>
      </w:pPr>
    </w:p>
    <w:p w14:paraId="2F650BF2" w14:textId="77777777" w:rsidR="00066FCC" w:rsidRPr="00A92A3E" w:rsidRDefault="00500AE2" w:rsidP="00F5523C">
      <w:pPr>
        <w:pStyle w:val="PargrafodaLista"/>
        <w:numPr>
          <w:ilvl w:val="0"/>
          <w:numId w:val="25"/>
        </w:numPr>
        <w:rPr>
          <w:rFonts w:asciiTheme="minorHAnsi" w:hAnsiTheme="minorHAnsi" w:cstheme="minorHAnsi"/>
          <w:sz w:val="16"/>
          <w:szCs w:val="16"/>
        </w:rPr>
      </w:pPr>
      <w:r w:rsidRPr="00A92A3E">
        <w:rPr>
          <w:rFonts w:asciiTheme="minorHAnsi" w:hAnsiTheme="minorHAnsi" w:cstheme="minorHAnsi"/>
          <w:bCs/>
          <w:sz w:val="16"/>
          <w:szCs w:val="16"/>
        </w:rPr>
        <w:t>Intervalo de confiança de 95% (noventa e cinco por cento);</w:t>
      </w:r>
    </w:p>
    <w:p w14:paraId="482A41A1" w14:textId="77777777" w:rsidR="00771128" w:rsidRPr="00A92A3E" w:rsidRDefault="00771128" w:rsidP="00771128">
      <w:pPr>
        <w:pStyle w:val="PargrafodaLista"/>
        <w:rPr>
          <w:rFonts w:asciiTheme="minorHAnsi" w:hAnsiTheme="minorHAnsi" w:cstheme="minorHAnsi"/>
          <w:sz w:val="16"/>
          <w:szCs w:val="16"/>
        </w:rPr>
      </w:pPr>
    </w:p>
    <w:p w14:paraId="2B57C024" w14:textId="60AC2C3E" w:rsidR="00500AE2" w:rsidRPr="00A92A3E" w:rsidRDefault="00500AE2" w:rsidP="00F5523C">
      <w:pPr>
        <w:pStyle w:val="PargrafodaLista"/>
        <w:numPr>
          <w:ilvl w:val="0"/>
          <w:numId w:val="25"/>
        </w:numPr>
        <w:rPr>
          <w:rFonts w:asciiTheme="minorHAnsi" w:hAnsiTheme="minorHAnsi" w:cstheme="minorHAnsi"/>
          <w:sz w:val="16"/>
          <w:szCs w:val="16"/>
        </w:rPr>
      </w:pPr>
      <w:r w:rsidRPr="00A92A3E">
        <w:rPr>
          <w:rFonts w:asciiTheme="minorHAnsi" w:hAnsiTheme="minorHAnsi" w:cstheme="minorHAnsi"/>
          <w:bCs/>
          <w:sz w:val="16"/>
          <w:szCs w:val="16"/>
        </w:rPr>
        <w:t>Horizonte temporal de 21 dias úteis.</w:t>
      </w:r>
    </w:p>
    <w:p w14:paraId="6EB40AE8" w14:textId="77777777" w:rsidR="00AE5798" w:rsidRPr="00A92A3E" w:rsidRDefault="00500AE2" w:rsidP="00AE5798">
      <w:pPr>
        <w:rPr>
          <w:rFonts w:asciiTheme="minorHAnsi" w:hAnsiTheme="minorHAnsi" w:cstheme="minorHAnsi"/>
          <w:bCs/>
          <w:sz w:val="16"/>
          <w:szCs w:val="16"/>
        </w:rPr>
      </w:pPr>
      <w:r w:rsidRPr="00A92A3E">
        <w:rPr>
          <w:rFonts w:asciiTheme="minorHAnsi" w:hAnsiTheme="minorHAnsi" w:cstheme="minorHAnsi"/>
          <w:bCs/>
          <w:sz w:val="16"/>
          <w:szCs w:val="16"/>
        </w:rPr>
        <w:t>Como parâmetro de monitoramento para controle do risco de mercado dos ativos que compõe a carteira</w:t>
      </w:r>
      <w:r w:rsidR="00066FCC" w:rsidRPr="00A92A3E">
        <w:rPr>
          <w:rFonts w:asciiTheme="minorHAnsi" w:hAnsiTheme="minorHAnsi" w:cstheme="minorHAnsi"/>
          <w:bCs/>
          <w:sz w:val="16"/>
          <w:szCs w:val="16"/>
        </w:rPr>
        <w:t xml:space="preserve"> de investimentos</w:t>
      </w:r>
      <w:r w:rsidRPr="00A92A3E">
        <w:rPr>
          <w:rFonts w:asciiTheme="minorHAnsi" w:hAnsiTheme="minorHAnsi" w:cstheme="minorHAnsi"/>
          <w:bCs/>
          <w:sz w:val="16"/>
          <w:szCs w:val="16"/>
        </w:rPr>
        <w:t xml:space="preserve">, os membros do Comitê de Investimentos e o Gestor dos Recursos deverão observar as referências abaixo estabelecidas e realizar reavaliação destes ativos sempre que as referências pré-estabelecidas forem </w:t>
      </w:r>
      <w:r w:rsidRPr="00A92A3E">
        <w:rPr>
          <w:rFonts w:asciiTheme="minorHAnsi" w:hAnsiTheme="minorHAnsi" w:cstheme="minorHAnsi"/>
          <w:b/>
          <w:sz w:val="16"/>
          <w:szCs w:val="16"/>
        </w:rPr>
        <w:t>ultrapassadas</w:t>
      </w:r>
      <w:r w:rsidR="00B03372" w:rsidRPr="00A92A3E">
        <w:rPr>
          <w:rFonts w:asciiTheme="minorHAnsi" w:hAnsiTheme="minorHAnsi" w:cstheme="minorHAnsi"/>
          <w:bCs/>
          <w:sz w:val="16"/>
          <w:szCs w:val="16"/>
        </w:rPr>
        <w:t>:</w:t>
      </w:r>
    </w:p>
    <w:p w14:paraId="74A0783A" w14:textId="5B72EE42" w:rsidR="000225F6" w:rsidRPr="00A92A3E" w:rsidRDefault="00500AE2" w:rsidP="00F5523C">
      <w:pPr>
        <w:pStyle w:val="PargrafodaLista"/>
        <w:numPr>
          <w:ilvl w:val="0"/>
          <w:numId w:val="13"/>
        </w:numPr>
        <w:rPr>
          <w:rFonts w:asciiTheme="minorHAnsi" w:hAnsiTheme="minorHAnsi" w:cstheme="minorHAnsi"/>
          <w:bCs/>
          <w:sz w:val="16"/>
          <w:szCs w:val="16"/>
        </w:rPr>
      </w:pPr>
      <w:r w:rsidRPr="00A92A3E">
        <w:rPr>
          <w:rFonts w:asciiTheme="minorHAnsi" w:hAnsiTheme="minorHAnsi" w:cstheme="minorHAnsi"/>
          <w:bCs/>
          <w:sz w:val="16"/>
          <w:szCs w:val="16"/>
        </w:rPr>
        <w:t xml:space="preserve">Segmento de Renda Fixa: </w:t>
      </w:r>
      <w:r w:rsidR="00DC1F02" w:rsidRPr="00A92A3E">
        <w:rPr>
          <w:rFonts w:asciiTheme="minorHAnsi" w:hAnsiTheme="minorHAnsi" w:cstheme="minorHAnsi"/>
          <w:b/>
          <w:sz w:val="16"/>
          <w:szCs w:val="16"/>
        </w:rPr>
        <w:t>1,64</w:t>
      </w:r>
      <w:r w:rsidRPr="00A92A3E">
        <w:rPr>
          <w:rFonts w:asciiTheme="minorHAnsi" w:hAnsiTheme="minorHAnsi" w:cstheme="minorHAnsi"/>
          <w:b/>
          <w:sz w:val="16"/>
          <w:szCs w:val="16"/>
        </w:rPr>
        <w:t>%</w:t>
      </w:r>
      <w:r w:rsidRPr="00A92A3E">
        <w:rPr>
          <w:rFonts w:asciiTheme="minorHAnsi" w:hAnsiTheme="minorHAnsi" w:cstheme="minorHAnsi"/>
          <w:bCs/>
          <w:sz w:val="16"/>
          <w:szCs w:val="16"/>
        </w:rPr>
        <w:t xml:space="preserve"> do valor alocado neste segmento;</w:t>
      </w:r>
    </w:p>
    <w:p w14:paraId="514F4659" w14:textId="77777777" w:rsidR="00771128" w:rsidRPr="00A92A3E" w:rsidRDefault="00771128" w:rsidP="00771128">
      <w:pPr>
        <w:pStyle w:val="PargrafodaLista"/>
        <w:rPr>
          <w:rFonts w:asciiTheme="minorHAnsi" w:hAnsiTheme="minorHAnsi" w:cstheme="minorHAnsi"/>
          <w:bCs/>
          <w:sz w:val="16"/>
          <w:szCs w:val="16"/>
        </w:rPr>
      </w:pPr>
    </w:p>
    <w:p w14:paraId="0C66F401" w14:textId="15DBEE1B" w:rsidR="000225F6" w:rsidRPr="00A92A3E" w:rsidRDefault="00500AE2" w:rsidP="00F5523C">
      <w:pPr>
        <w:pStyle w:val="PargrafodaLista"/>
        <w:numPr>
          <w:ilvl w:val="0"/>
          <w:numId w:val="13"/>
        </w:numPr>
        <w:rPr>
          <w:rFonts w:asciiTheme="minorHAnsi" w:hAnsiTheme="minorHAnsi" w:cstheme="minorHAnsi"/>
          <w:bCs/>
          <w:sz w:val="16"/>
          <w:szCs w:val="16"/>
        </w:rPr>
      </w:pPr>
      <w:r w:rsidRPr="00A92A3E">
        <w:rPr>
          <w:rFonts w:asciiTheme="minorHAnsi" w:hAnsiTheme="minorHAnsi" w:cstheme="minorHAnsi"/>
          <w:bCs/>
          <w:sz w:val="16"/>
          <w:szCs w:val="16"/>
        </w:rPr>
        <w:t xml:space="preserve">Segmento de Renda Variável e Estruturados: </w:t>
      </w:r>
      <w:r w:rsidR="00C46BCD" w:rsidRPr="00A92A3E">
        <w:rPr>
          <w:rFonts w:asciiTheme="minorHAnsi" w:hAnsiTheme="minorHAnsi" w:cstheme="minorHAnsi"/>
          <w:b/>
          <w:sz w:val="16"/>
          <w:szCs w:val="16"/>
        </w:rPr>
        <w:t>8,52</w:t>
      </w:r>
      <w:r w:rsidR="00B03372" w:rsidRPr="00A92A3E">
        <w:rPr>
          <w:rFonts w:asciiTheme="minorHAnsi" w:hAnsiTheme="minorHAnsi" w:cstheme="minorHAnsi"/>
          <w:b/>
          <w:sz w:val="16"/>
          <w:szCs w:val="16"/>
        </w:rPr>
        <w:t>%</w:t>
      </w:r>
      <w:r w:rsidRPr="00A92A3E">
        <w:rPr>
          <w:rFonts w:asciiTheme="minorHAnsi" w:hAnsiTheme="minorHAnsi" w:cstheme="minorHAnsi"/>
          <w:b/>
          <w:bCs/>
          <w:sz w:val="16"/>
          <w:szCs w:val="16"/>
        </w:rPr>
        <w:t xml:space="preserve"> </w:t>
      </w:r>
      <w:r w:rsidRPr="00A92A3E">
        <w:rPr>
          <w:rFonts w:asciiTheme="minorHAnsi" w:hAnsiTheme="minorHAnsi" w:cstheme="minorHAnsi"/>
          <w:bCs/>
          <w:sz w:val="16"/>
          <w:szCs w:val="16"/>
        </w:rPr>
        <w:t>do valor alocado neste segmento e</w:t>
      </w:r>
    </w:p>
    <w:p w14:paraId="6ED3AD75" w14:textId="77777777" w:rsidR="00771128" w:rsidRPr="00A92A3E" w:rsidRDefault="00771128" w:rsidP="00771128">
      <w:pPr>
        <w:pStyle w:val="PargrafodaLista"/>
        <w:rPr>
          <w:rFonts w:asciiTheme="minorHAnsi" w:hAnsiTheme="minorHAnsi" w:cstheme="minorHAnsi"/>
          <w:bCs/>
          <w:sz w:val="16"/>
          <w:szCs w:val="16"/>
        </w:rPr>
      </w:pPr>
    </w:p>
    <w:p w14:paraId="229F9C64" w14:textId="1C5906FC" w:rsidR="00B03372" w:rsidRPr="00A92A3E" w:rsidRDefault="00500AE2" w:rsidP="00F5523C">
      <w:pPr>
        <w:pStyle w:val="PargrafodaLista"/>
        <w:numPr>
          <w:ilvl w:val="0"/>
          <w:numId w:val="13"/>
        </w:numPr>
        <w:rPr>
          <w:rFonts w:asciiTheme="minorHAnsi" w:hAnsiTheme="minorHAnsi" w:cstheme="minorHAnsi"/>
          <w:bCs/>
          <w:sz w:val="16"/>
          <w:szCs w:val="16"/>
        </w:rPr>
      </w:pPr>
      <w:r w:rsidRPr="00A92A3E">
        <w:rPr>
          <w:rFonts w:asciiTheme="minorHAnsi" w:hAnsiTheme="minorHAnsi" w:cstheme="minorHAnsi"/>
          <w:bCs/>
          <w:sz w:val="16"/>
          <w:szCs w:val="16"/>
        </w:rPr>
        <w:t xml:space="preserve">Segmento de Investimento no Exterior </w:t>
      </w:r>
      <w:r w:rsidR="00464075" w:rsidRPr="00A92A3E">
        <w:rPr>
          <w:rFonts w:asciiTheme="minorHAnsi" w:hAnsiTheme="minorHAnsi" w:cstheme="minorHAnsi"/>
          <w:b/>
          <w:sz w:val="16"/>
          <w:szCs w:val="16"/>
        </w:rPr>
        <w:t>9,40</w:t>
      </w:r>
      <w:r w:rsidR="00B03372" w:rsidRPr="00A92A3E">
        <w:rPr>
          <w:rFonts w:asciiTheme="minorHAnsi" w:hAnsiTheme="minorHAnsi" w:cstheme="minorHAnsi"/>
          <w:b/>
          <w:sz w:val="16"/>
          <w:szCs w:val="16"/>
        </w:rPr>
        <w:t>%</w:t>
      </w:r>
      <w:r w:rsidRPr="00A92A3E">
        <w:rPr>
          <w:rFonts w:asciiTheme="minorHAnsi" w:hAnsiTheme="minorHAnsi" w:cstheme="minorHAnsi"/>
          <w:bCs/>
          <w:sz w:val="16"/>
          <w:szCs w:val="16"/>
        </w:rPr>
        <w:t xml:space="preserve"> do valor alocado nesse segmento</w:t>
      </w:r>
      <w:r w:rsidR="00B03372" w:rsidRPr="00A92A3E">
        <w:rPr>
          <w:rFonts w:asciiTheme="minorHAnsi" w:hAnsiTheme="minorHAnsi" w:cstheme="minorHAnsi"/>
          <w:bCs/>
          <w:sz w:val="16"/>
          <w:szCs w:val="16"/>
        </w:rPr>
        <w:t>.</w:t>
      </w:r>
    </w:p>
    <w:p w14:paraId="6F748219" w14:textId="6A762E00" w:rsidR="00635488" w:rsidRPr="00A92A3E" w:rsidRDefault="00500AE2" w:rsidP="00B03372">
      <w:pPr>
        <w:rPr>
          <w:rFonts w:asciiTheme="minorHAnsi" w:hAnsiTheme="minorHAnsi" w:cstheme="minorHAnsi"/>
          <w:sz w:val="16"/>
          <w:szCs w:val="16"/>
        </w:rPr>
      </w:pPr>
      <w:r w:rsidRPr="00A92A3E">
        <w:rPr>
          <w:rFonts w:asciiTheme="minorHAnsi" w:hAnsiTheme="minorHAnsi" w:cstheme="minorHAnsi"/>
          <w:sz w:val="16"/>
          <w:szCs w:val="16"/>
        </w:rPr>
        <w:t xml:space="preserve">Como instrumento adicional de controle, 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deverá monitorar a rentabilidade do</w:t>
      </w:r>
      <w:r w:rsidR="000225F6" w:rsidRPr="00A92A3E">
        <w:rPr>
          <w:rFonts w:asciiTheme="minorHAnsi" w:hAnsiTheme="minorHAnsi" w:cstheme="minorHAnsi"/>
          <w:sz w:val="16"/>
          <w:szCs w:val="16"/>
        </w:rPr>
        <w:t>s</w:t>
      </w:r>
      <w:r w:rsidRPr="00A92A3E">
        <w:rPr>
          <w:rFonts w:asciiTheme="minorHAnsi" w:hAnsiTheme="minorHAnsi" w:cstheme="minorHAnsi"/>
          <w:sz w:val="16"/>
          <w:szCs w:val="16"/>
        </w:rPr>
        <w:t xml:space="preserve"> fundo</w:t>
      </w:r>
      <w:r w:rsidR="000225F6" w:rsidRPr="00A92A3E">
        <w:rPr>
          <w:rFonts w:asciiTheme="minorHAnsi" w:hAnsiTheme="minorHAnsi" w:cstheme="minorHAnsi"/>
          <w:sz w:val="16"/>
          <w:szCs w:val="16"/>
        </w:rPr>
        <w:t>s</w:t>
      </w:r>
      <w:r w:rsidRPr="00A92A3E">
        <w:rPr>
          <w:rFonts w:asciiTheme="minorHAnsi" w:hAnsiTheme="minorHAnsi" w:cstheme="minorHAnsi"/>
          <w:sz w:val="16"/>
          <w:szCs w:val="16"/>
        </w:rPr>
        <w:t xml:space="preserve"> de investimento</w:t>
      </w:r>
      <w:r w:rsidR="000225F6" w:rsidRPr="00A92A3E">
        <w:rPr>
          <w:rFonts w:asciiTheme="minorHAnsi" w:hAnsiTheme="minorHAnsi" w:cstheme="minorHAnsi"/>
          <w:sz w:val="16"/>
          <w:szCs w:val="16"/>
        </w:rPr>
        <w:t>s</w:t>
      </w:r>
      <w:r w:rsidRPr="00A92A3E">
        <w:rPr>
          <w:rFonts w:asciiTheme="minorHAnsi" w:hAnsiTheme="minorHAnsi" w:cstheme="minorHAnsi"/>
          <w:sz w:val="16"/>
          <w:szCs w:val="16"/>
        </w:rPr>
        <w:t xml:space="preserve"> em janelas temporais (mês, ano, três meses, seis meses, doze meses e vinte e quatro meses), verificando o alinhamento com o </w:t>
      </w:r>
      <w:r w:rsidRPr="00A92A3E">
        <w:rPr>
          <w:rFonts w:asciiTheme="minorHAnsi" w:hAnsiTheme="minorHAnsi" w:cstheme="minorHAnsi"/>
          <w:i/>
          <w:iCs/>
          <w:sz w:val="16"/>
          <w:szCs w:val="16"/>
        </w:rPr>
        <w:t>benchmark</w:t>
      </w:r>
      <w:r w:rsidRPr="00A92A3E">
        <w:rPr>
          <w:rFonts w:asciiTheme="minorHAnsi" w:hAnsiTheme="minorHAnsi" w:cstheme="minorHAnsi"/>
          <w:sz w:val="16"/>
          <w:szCs w:val="16"/>
        </w:rPr>
        <w:t xml:space="preserve"> de cada ativo. Desvios significativos deverão ser avaliados pelos membros do Comitê de Investimentos</w:t>
      </w:r>
      <w:r w:rsidR="000225F6" w:rsidRPr="00A92A3E">
        <w:rPr>
          <w:rFonts w:asciiTheme="minorHAnsi" w:hAnsiTheme="minorHAnsi" w:cstheme="minorHAnsi"/>
          <w:sz w:val="16"/>
          <w:szCs w:val="16"/>
        </w:rPr>
        <w:t xml:space="preserve"> e Gestor dos Recursos</w:t>
      </w:r>
      <w:r w:rsidRPr="00A92A3E">
        <w:rPr>
          <w:rFonts w:asciiTheme="minorHAnsi" w:hAnsiTheme="minorHAnsi" w:cstheme="minorHAnsi"/>
          <w:sz w:val="16"/>
          <w:szCs w:val="16"/>
        </w:rPr>
        <w:t>, que decidirá pela manutenção, ou não, d</w:t>
      </w:r>
      <w:r w:rsidR="000225F6" w:rsidRPr="00A92A3E">
        <w:rPr>
          <w:rFonts w:asciiTheme="minorHAnsi" w:hAnsiTheme="minorHAnsi" w:cstheme="minorHAnsi"/>
          <w:sz w:val="16"/>
          <w:szCs w:val="16"/>
        </w:rPr>
        <w:t>esses ativos</w:t>
      </w:r>
      <w:r w:rsidRPr="00A92A3E">
        <w:rPr>
          <w:rFonts w:asciiTheme="minorHAnsi" w:hAnsiTheme="minorHAnsi" w:cstheme="minorHAnsi"/>
          <w:sz w:val="16"/>
          <w:szCs w:val="16"/>
        </w:rPr>
        <w:t>.</w:t>
      </w:r>
    </w:p>
    <w:p w14:paraId="04449AAA" w14:textId="725C88E0" w:rsidR="00500AE2" w:rsidRPr="00A92A3E" w:rsidRDefault="000160BE" w:rsidP="000160BE">
      <w:pPr>
        <w:pStyle w:val="Ttulo2"/>
        <w:rPr>
          <w:rFonts w:asciiTheme="minorHAnsi" w:hAnsiTheme="minorHAnsi" w:cstheme="minorHAnsi"/>
          <w:sz w:val="16"/>
          <w:szCs w:val="16"/>
        </w:rPr>
      </w:pPr>
      <w:bookmarkStart w:id="95" w:name="_Toc435202752"/>
      <w:bookmarkStart w:id="96" w:name="_Toc490036558"/>
      <w:bookmarkStart w:id="97" w:name="_Toc118105149"/>
      <w:r w:rsidRPr="00A92A3E">
        <w:rPr>
          <w:rFonts w:asciiTheme="minorHAnsi" w:hAnsiTheme="minorHAnsi" w:cstheme="minorHAnsi"/>
          <w:sz w:val="16"/>
          <w:szCs w:val="16"/>
        </w:rPr>
        <w:t>Controle do Risco de Crédito</w:t>
      </w:r>
      <w:bookmarkEnd w:id="95"/>
      <w:bookmarkEnd w:id="96"/>
      <w:bookmarkEnd w:id="97"/>
    </w:p>
    <w:p w14:paraId="56EE1C16" w14:textId="6EC9CEC5"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Na hipótese de aplicação </w:t>
      </w:r>
      <w:r w:rsidR="009448AC" w:rsidRPr="00A92A3E">
        <w:rPr>
          <w:rFonts w:asciiTheme="minorHAnsi" w:hAnsiTheme="minorHAnsi" w:cstheme="minorHAnsi"/>
          <w:bCs/>
          <w:sz w:val="16"/>
          <w:szCs w:val="16"/>
        </w:rPr>
        <w:t>dos</w:t>
      </w:r>
      <w:r w:rsidRPr="00A92A3E">
        <w:rPr>
          <w:rFonts w:asciiTheme="minorHAnsi" w:hAnsiTheme="minorHAnsi" w:cstheme="minorHAnsi"/>
          <w:bCs/>
          <w:sz w:val="16"/>
          <w:szCs w:val="16"/>
        </w:rPr>
        <w:t xml:space="preserve"> recursos financeiros em fundos de investimento que possuem em sua carteira de investimentos ativos de crédito, subordinam-se que estes sejam emitidas por companhias abertas devidamente operacionais e registrada; e que sejam de baixo risco em classificação efetuada por agência classificadora de risco, o que estiverem de acordo com a tabela abaixo:</w:t>
      </w:r>
    </w:p>
    <w:tbl>
      <w:tblPr>
        <w:tblStyle w:val="TabeladeGrade21"/>
        <w:tblW w:w="0" w:type="auto"/>
        <w:jc w:val="center"/>
        <w:tblLook w:val="04A0" w:firstRow="1" w:lastRow="0" w:firstColumn="1" w:lastColumn="0" w:noHBand="0" w:noVBand="1"/>
      </w:tblPr>
      <w:tblGrid>
        <w:gridCol w:w="2727"/>
        <w:gridCol w:w="2599"/>
      </w:tblGrid>
      <w:tr w:rsidR="00500AE2" w:rsidRPr="00A92A3E" w14:paraId="15298F42" w14:textId="77777777" w:rsidTr="00184B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7B857E7" w14:textId="77777777" w:rsidR="00500AE2" w:rsidRPr="00A92A3E" w:rsidRDefault="00500AE2" w:rsidP="000160BE">
            <w:pPr>
              <w:spacing w:before="0" w:after="0"/>
              <w:jc w:val="center"/>
              <w:rPr>
                <w:rFonts w:asciiTheme="minorHAnsi" w:hAnsiTheme="minorHAnsi" w:cstheme="minorHAnsi"/>
                <w:bCs w:val="0"/>
                <w:sz w:val="16"/>
                <w:szCs w:val="16"/>
              </w:rPr>
            </w:pPr>
            <w:r w:rsidRPr="00A92A3E">
              <w:rPr>
                <w:rFonts w:asciiTheme="minorHAnsi" w:hAnsiTheme="minorHAnsi" w:cstheme="minorHAnsi"/>
                <w:bCs w:val="0"/>
                <w:sz w:val="16"/>
                <w:szCs w:val="16"/>
              </w:rPr>
              <w:t>AGÊNCIA CLASSIFICADOREA DE RISCO</w:t>
            </w:r>
          </w:p>
        </w:tc>
        <w:tc>
          <w:tcPr>
            <w:tcW w:w="2599" w:type="dxa"/>
          </w:tcPr>
          <w:p w14:paraId="4610FF93" w14:textId="77777777" w:rsidR="00500AE2" w:rsidRPr="00A92A3E" w:rsidRDefault="00500AE2" w:rsidP="000160BE">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16"/>
                <w:szCs w:val="16"/>
              </w:rPr>
            </w:pPr>
            <w:r w:rsidRPr="00A92A3E">
              <w:rPr>
                <w:rFonts w:asciiTheme="minorHAnsi" w:hAnsiTheme="minorHAnsi" w:cstheme="minorHAnsi"/>
                <w:bCs w:val="0"/>
                <w:sz w:val="16"/>
                <w:szCs w:val="16"/>
              </w:rPr>
              <w:t>RATING MÍNIMO</w:t>
            </w:r>
          </w:p>
        </w:tc>
      </w:tr>
      <w:tr w:rsidR="00500AE2" w:rsidRPr="00A92A3E" w14:paraId="7B394E9D" w14:textId="77777777" w:rsidTr="00184B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6699D2E" w14:textId="77777777" w:rsidR="00500AE2" w:rsidRPr="00A92A3E" w:rsidRDefault="00500AE2" w:rsidP="000160BE">
            <w:pPr>
              <w:spacing w:before="0" w:after="0"/>
              <w:jc w:val="center"/>
              <w:rPr>
                <w:rFonts w:asciiTheme="minorHAnsi" w:hAnsiTheme="minorHAnsi" w:cstheme="minorHAnsi"/>
                <w:bCs w:val="0"/>
                <w:color w:val="404040" w:themeColor="text1" w:themeTint="BF"/>
                <w:sz w:val="16"/>
                <w:szCs w:val="16"/>
              </w:rPr>
            </w:pPr>
            <w:r w:rsidRPr="00A92A3E">
              <w:rPr>
                <w:rFonts w:asciiTheme="minorHAnsi" w:hAnsiTheme="minorHAnsi" w:cstheme="minorHAnsi"/>
                <w:bCs w:val="0"/>
                <w:color w:val="404040" w:themeColor="text1" w:themeTint="BF"/>
                <w:sz w:val="16"/>
                <w:szCs w:val="16"/>
              </w:rPr>
              <w:t>STANDARD &amp; POOR’S</w:t>
            </w:r>
          </w:p>
        </w:tc>
        <w:tc>
          <w:tcPr>
            <w:tcW w:w="2599" w:type="dxa"/>
          </w:tcPr>
          <w:p w14:paraId="4CBFF57B" w14:textId="77777777" w:rsidR="00500AE2" w:rsidRPr="00A92A3E" w:rsidRDefault="00500AE2" w:rsidP="000160BE">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04040" w:themeColor="text1" w:themeTint="BF"/>
                <w:sz w:val="16"/>
                <w:szCs w:val="16"/>
              </w:rPr>
            </w:pPr>
            <w:r w:rsidRPr="00A92A3E">
              <w:rPr>
                <w:rFonts w:asciiTheme="minorHAnsi" w:hAnsiTheme="minorHAnsi" w:cstheme="minorHAnsi"/>
                <w:b/>
                <w:color w:val="404040" w:themeColor="text1" w:themeTint="BF"/>
                <w:sz w:val="16"/>
                <w:szCs w:val="16"/>
              </w:rPr>
              <w:t>BBB+ (perspectiva estável)</w:t>
            </w:r>
          </w:p>
        </w:tc>
      </w:tr>
      <w:tr w:rsidR="00500AE2" w:rsidRPr="00A92A3E" w14:paraId="417968BF" w14:textId="77777777" w:rsidTr="00184B6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089E28E" w14:textId="77777777" w:rsidR="00500AE2" w:rsidRPr="00A92A3E" w:rsidRDefault="00500AE2" w:rsidP="000160BE">
            <w:pPr>
              <w:spacing w:before="0" w:after="0"/>
              <w:jc w:val="center"/>
              <w:rPr>
                <w:rFonts w:asciiTheme="minorHAnsi" w:hAnsiTheme="minorHAnsi" w:cstheme="minorHAnsi"/>
                <w:bCs w:val="0"/>
                <w:color w:val="404040" w:themeColor="text1" w:themeTint="BF"/>
                <w:sz w:val="16"/>
                <w:szCs w:val="16"/>
              </w:rPr>
            </w:pPr>
            <w:r w:rsidRPr="00A92A3E">
              <w:rPr>
                <w:rFonts w:asciiTheme="minorHAnsi" w:hAnsiTheme="minorHAnsi" w:cstheme="minorHAnsi"/>
                <w:bCs w:val="0"/>
                <w:color w:val="404040" w:themeColor="text1" w:themeTint="BF"/>
                <w:sz w:val="16"/>
                <w:szCs w:val="16"/>
              </w:rPr>
              <w:t>MOODY’S</w:t>
            </w:r>
          </w:p>
        </w:tc>
        <w:tc>
          <w:tcPr>
            <w:tcW w:w="2599" w:type="dxa"/>
          </w:tcPr>
          <w:p w14:paraId="24C555CD" w14:textId="77777777" w:rsidR="00500AE2" w:rsidRPr="00A92A3E" w:rsidRDefault="00500AE2" w:rsidP="000160BE">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404040" w:themeColor="text1" w:themeTint="BF"/>
                <w:sz w:val="16"/>
                <w:szCs w:val="16"/>
              </w:rPr>
            </w:pPr>
            <w:r w:rsidRPr="00A92A3E">
              <w:rPr>
                <w:rFonts w:asciiTheme="minorHAnsi" w:hAnsiTheme="minorHAnsi" w:cstheme="minorHAnsi"/>
                <w:b/>
                <w:color w:val="404040" w:themeColor="text1" w:themeTint="BF"/>
                <w:sz w:val="16"/>
                <w:szCs w:val="16"/>
              </w:rPr>
              <w:t>Baa1 (perspectiva estável)</w:t>
            </w:r>
          </w:p>
        </w:tc>
      </w:tr>
      <w:tr w:rsidR="00500AE2" w:rsidRPr="00A92A3E" w14:paraId="798ACF92" w14:textId="77777777" w:rsidTr="00184B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9B447F8" w14:textId="77777777" w:rsidR="00500AE2" w:rsidRPr="00A92A3E" w:rsidRDefault="00500AE2" w:rsidP="000160BE">
            <w:pPr>
              <w:spacing w:before="0" w:after="0"/>
              <w:jc w:val="center"/>
              <w:rPr>
                <w:rFonts w:asciiTheme="minorHAnsi" w:hAnsiTheme="minorHAnsi" w:cstheme="minorHAnsi"/>
                <w:bCs w:val="0"/>
                <w:color w:val="404040" w:themeColor="text1" w:themeTint="BF"/>
                <w:sz w:val="16"/>
                <w:szCs w:val="16"/>
              </w:rPr>
            </w:pPr>
            <w:r w:rsidRPr="00A92A3E">
              <w:rPr>
                <w:rFonts w:asciiTheme="minorHAnsi" w:hAnsiTheme="minorHAnsi" w:cstheme="minorHAnsi"/>
                <w:bCs w:val="0"/>
                <w:color w:val="404040" w:themeColor="text1" w:themeTint="BF"/>
                <w:sz w:val="16"/>
                <w:szCs w:val="16"/>
              </w:rPr>
              <w:t>FITCH RATINGS</w:t>
            </w:r>
          </w:p>
        </w:tc>
        <w:tc>
          <w:tcPr>
            <w:tcW w:w="2599" w:type="dxa"/>
          </w:tcPr>
          <w:p w14:paraId="4439D41A" w14:textId="77777777" w:rsidR="00500AE2" w:rsidRPr="00A92A3E" w:rsidRDefault="00500AE2" w:rsidP="000160BE">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04040" w:themeColor="text1" w:themeTint="BF"/>
                <w:sz w:val="16"/>
                <w:szCs w:val="16"/>
              </w:rPr>
            </w:pPr>
            <w:r w:rsidRPr="00A92A3E">
              <w:rPr>
                <w:rFonts w:asciiTheme="minorHAnsi" w:hAnsiTheme="minorHAnsi" w:cstheme="minorHAnsi"/>
                <w:b/>
                <w:color w:val="404040" w:themeColor="text1" w:themeTint="BF"/>
                <w:sz w:val="16"/>
                <w:szCs w:val="16"/>
              </w:rPr>
              <w:t>BBB+ (perspectiva estável)</w:t>
            </w:r>
          </w:p>
        </w:tc>
      </w:tr>
      <w:tr w:rsidR="00500AE2" w:rsidRPr="00A92A3E" w14:paraId="1C883506" w14:textId="77777777" w:rsidTr="00184B6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D4A03FB" w14:textId="77777777" w:rsidR="00500AE2" w:rsidRPr="00A92A3E" w:rsidRDefault="00500AE2" w:rsidP="000160BE">
            <w:pPr>
              <w:spacing w:before="0" w:after="0"/>
              <w:jc w:val="center"/>
              <w:rPr>
                <w:rFonts w:asciiTheme="minorHAnsi" w:hAnsiTheme="minorHAnsi" w:cstheme="minorHAnsi"/>
                <w:bCs w:val="0"/>
                <w:color w:val="404040" w:themeColor="text1" w:themeTint="BF"/>
                <w:sz w:val="16"/>
                <w:szCs w:val="16"/>
              </w:rPr>
            </w:pPr>
            <w:r w:rsidRPr="00A92A3E">
              <w:rPr>
                <w:rFonts w:asciiTheme="minorHAnsi" w:hAnsiTheme="minorHAnsi" w:cstheme="minorHAnsi"/>
                <w:bCs w:val="0"/>
                <w:color w:val="404040" w:themeColor="text1" w:themeTint="BF"/>
                <w:sz w:val="16"/>
                <w:szCs w:val="16"/>
              </w:rPr>
              <w:t>AUSTIN RATING</w:t>
            </w:r>
          </w:p>
        </w:tc>
        <w:tc>
          <w:tcPr>
            <w:tcW w:w="2599" w:type="dxa"/>
          </w:tcPr>
          <w:p w14:paraId="7B879C68" w14:textId="77777777" w:rsidR="00500AE2" w:rsidRPr="00A92A3E" w:rsidRDefault="00500AE2" w:rsidP="000160BE">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404040" w:themeColor="text1" w:themeTint="BF"/>
                <w:sz w:val="16"/>
                <w:szCs w:val="16"/>
              </w:rPr>
            </w:pPr>
            <w:r w:rsidRPr="00A92A3E">
              <w:rPr>
                <w:rFonts w:asciiTheme="minorHAnsi" w:hAnsiTheme="minorHAnsi" w:cstheme="minorHAnsi"/>
                <w:b/>
                <w:color w:val="404040" w:themeColor="text1" w:themeTint="BF"/>
                <w:sz w:val="16"/>
                <w:szCs w:val="16"/>
              </w:rPr>
              <w:t>A (perspectiva estável)</w:t>
            </w:r>
          </w:p>
        </w:tc>
      </w:tr>
      <w:tr w:rsidR="00500AE2" w:rsidRPr="00A92A3E" w14:paraId="2D12063A" w14:textId="77777777" w:rsidTr="00184B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066E8BE" w14:textId="77777777" w:rsidR="00500AE2" w:rsidRPr="00A92A3E" w:rsidRDefault="00500AE2" w:rsidP="000160BE">
            <w:pPr>
              <w:spacing w:before="0" w:after="0"/>
              <w:jc w:val="center"/>
              <w:rPr>
                <w:rFonts w:asciiTheme="minorHAnsi" w:hAnsiTheme="minorHAnsi" w:cstheme="minorHAnsi"/>
                <w:bCs w:val="0"/>
                <w:color w:val="404040" w:themeColor="text1" w:themeTint="BF"/>
                <w:sz w:val="16"/>
                <w:szCs w:val="16"/>
              </w:rPr>
            </w:pPr>
            <w:r w:rsidRPr="00A92A3E">
              <w:rPr>
                <w:rFonts w:asciiTheme="minorHAnsi" w:hAnsiTheme="minorHAnsi" w:cstheme="minorHAnsi"/>
                <w:bCs w:val="0"/>
                <w:color w:val="404040" w:themeColor="text1" w:themeTint="BF"/>
                <w:sz w:val="16"/>
                <w:szCs w:val="16"/>
              </w:rPr>
              <w:t>LF RATING</w:t>
            </w:r>
          </w:p>
        </w:tc>
        <w:tc>
          <w:tcPr>
            <w:tcW w:w="2599" w:type="dxa"/>
          </w:tcPr>
          <w:p w14:paraId="76FB9863" w14:textId="77777777" w:rsidR="00500AE2" w:rsidRPr="00A92A3E" w:rsidRDefault="00500AE2" w:rsidP="000160BE">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04040" w:themeColor="text1" w:themeTint="BF"/>
                <w:sz w:val="16"/>
                <w:szCs w:val="16"/>
              </w:rPr>
            </w:pPr>
            <w:r w:rsidRPr="00A92A3E">
              <w:rPr>
                <w:rFonts w:asciiTheme="minorHAnsi" w:hAnsiTheme="minorHAnsi" w:cstheme="minorHAnsi"/>
                <w:b/>
                <w:color w:val="404040" w:themeColor="text1" w:themeTint="BF"/>
                <w:sz w:val="16"/>
                <w:szCs w:val="16"/>
              </w:rPr>
              <w:t>A (perspectiva estável)</w:t>
            </w:r>
          </w:p>
        </w:tc>
      </w:tr>
      <w:tr w:rsidR="00500AE2" w:rsidRPr="00A92A3E" w14:paraId="14B74ED7" w14:textId="77777777" w:rsidTr="00184B6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85A714" w14:textId="77777777" w:rsidR="00500AE2" w:rsidRPr="00A92A3E" w:rsidRDefault="00500AE2" w:rsidP="000160BE">
            <w:pPr>
              <w:spacing w:before="0" w:after="0"/>
              <w:jc w:val="center"/>
              <w:rPr>
                <w:rFonts w:asciiTheme="minorHAnsi" w:hAnsiTheme="minorHAnsi" w:cstheme="minorHAnsi"/>
                <w:bCs w:val="0"/>
                <w:color w:val="404040" w:themeColor="text1" w:themeTint="BF"/>
                <w:sz w:val="16"/>
                <w:szCs w:val="16"/>
              </w:rPr>
            </w:pPr>
            <w:r w:rsidRPr="00A92A3E">
              <w:rPr>
                <w:rFonts w:asciiTheme="minorHAnsi" w:hAnsiTheme="minorHAnsi" w:cstheme="minorHAnsi"/>
                <w:bCs w:val="0"/>
                <w:color w:val="404040" w:themeColor="text1" w:themeTint="BF"/>
                <w:sz w:val="16"/>
                <w:szCs w:val="16"/>
              </w:rPr>
              <w:t>LIBERUM RATING</w:t>
            </w:r>
          </w:p>
        </w:tc>
        <w:tc>
          <w:tcPr>
            <w:tcW w:w="2599" w:type="dxa"/>
          </w:tcPr>
          <w:p w14:paraId="4D677318" w14:textId="77777777" w:rsidR="00500AE2" w:rsidRPr="00A92A3E" w:rsidRDefault="00500AE2" w:rsidP="000160BE">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404040" w:themeColor="text1" w:themeTint="BF"/>
                <w:sz w:val="16"/>
                <w:szCs w:val="16"/>
              </w:rPr>
            </w:pPr>
            <w:r w:rsidRPr="00A92A3E">
              <w:rPr>
                <w:rFonts w:asciiTheme="minorHAnsi" w:hAnsiTheme="minorHAnsi" w:cstheme="minorHAnsi"/>
                <w:b/>
                <w:color w:val="404040" w:themeColor="text1" w:themeTint="BF"/>
                <w:sz w:val="16"/>
                <w:szCs w:val="16"/>
              </w:rPr>
              <w:t>A (perspectiva estável)</w:t>
            </w:r>
          </w:p>
        </w:tc>
      </w:tr>
    </w:tbl>
    <w:p w14:paraId="71FDCA19" w14:textId="3751FEF2"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As agências classificadoras de risco supracitadas estão devidamente registradas na Comissão de Valores Mobiliários - CVM e autorizadas a opera</w:t>
      </w:r>
      <w:r w:rsidR="009448AC" w:rsidRPr="00A92A3E">
        <w:rPr>
          <w:rFonts w:asciiTheme="minorHAnsi" w:hAnsiTheme="minorHAnsi" w:cstheme="minorHAnsi"/>
          <w:sz w:val="16"/>
          <w:szCs w:val="16"/>
        </w:rPr>
        <w:t>cionalizar</w:t>
      </w:r>
      <w:r w:rsidRPr="00A92A3E">
        <w:rPr>
          <w:rFonts w:asciiTheme="minorHAnsi" w:hAnsiTheme="minorHAnsi" w:cstheme="minorHAnsi"/>
          <w:sz w:val="16"/>
          <w:szCs w:val="16"/>
        </w:rPr>
        <w:t xml:space="preserve"> no Brasil. Utilizam o sistema de </w:t>
      </w:r>
      <w:r w:rsidRPr="00A92A3E">
        <w:rPr>
          <w:rFonts w:asciiTheme="minorHAnsi" w:hAnsiTheme="minorHAnsi" w:cstheme="minorHAnsi"/>
          <w:i/>
          <w:iCs/>
          <w:sz w:val="16"/>
          <w:szCs w:val="16"/>
        </w:rPr>
        <w:t>rating</w:t>
      </w:r>
      <w:r w:rsidRPr="00A92A3E">
        <w:rPr>
          <w:rFonts w:asciiTheme="minorHAnsi" w:hAnsiTheme="minorHAnsi" w:cstheme="minorHAnsi"/>
          <w:sz w:val="16"/>
          <w:szCs w:val="16"/>
        </w:rPr>
        <w:t xml:space="preserve"> para classificar o nível de risco das </w:t>
      </w:r>
      <w:r w:rsidR="009448AC" w:rsidRPr="00A92A3E">
        <w:rPr>
          <w:rFonts w:asciiTheme="minorHAnsi" w:hAnsiTheme="minorHAnsi" w:cstheme="minorHAnsi"/>
          <w:sz w:val="16"/>
          <w:szCs w:val="16"/>
        </w:rPr>
        <w:t>I</w:t>
      </w:r>
      <w:r w:rsidRPr="00A92A3E">
        <w:rPr>
          <w:rFonts w:asciiTheme="minorHAnsi" w:hAnsiTheme="minorHAnsi" w:cstheme="minorHAnsi"/>
          <w:sz w:val="16"/>
          <w:szCs w:val="16"/>
        </w:rPr>
        <w:t xml:space="preserve">nstituições </w:t>
      </w:r>
      <w:r w:rsidR="009448AC" w:rsidRPr="00A92A3E">
        <w:rPr>
          <w:rFonts w:asciiTheme="minorHAnsi" w:hAnsiTheme="minorHAnsi" w:cstheme="minorHAnsi"/>
          <w:sz w:val="16"/>
          <w:szCs w:val="16"/>
        </w:rPr>
        <w:t>F</w:t>
      </w:r>
      <w:r w:rsidRPr="00A92A3E">
        <w:rPr>
          <w:rFonts w:asciiTheme="minorHAnsi" w:hAnsiTheme="minorHAnsi" w:cstheme="minorHAnsi"/>
          <w:sz w:val="16"/>
          <w:szCs w:val="16"/>
        </w:rPr>
        <w:t xml:space="preserve">inanceiras, fundo de investimentos e dos ativos financeiros </w:t>
      </w:r>
      <w:r w:rsidR="009448AC" w:rsidRPr="00A92A3E">
        <w:rPr>
          <w:rFonts w:asciiTheme="minorHAnsi" w:hAnsiTheme="minorHAnsi" w:cstheme="minorHAnsi"/>
          <w:sz w:val="16"/>
          <w:szCs w:val="16"/>
        </w:rPr>
        <w:t xml:space="preserve">que </w:t>
      </w:r>
      <w:r w:rsidR="00F336E9" w:rsidRPr="00A92A3E">
        <w:rPr>
          <w:rFonts w:asciiTheme="minorHAnsi" w:hAnsiTheme="minorHAnsi" w:cstheme="minorHAnsi"/>
          <w:sz w:val="16"/>
          <w:szCs w:val="16"/>
        </w:rPr>
        <w:t>integram</w:t>
      </w:r>
      <w:r w:rsidRPr="00A92A3E">
        <w:rPr>
          <w:rFonts w:asciiTheme="minorHAnsi" w:hAnsiTheme="minorHAnsi" w:cstheme="minorHAnsi"/>
          <w:sz w:val="16"/>
          <w:szCs w:val="16"/>
        </w:rPr>
        <w:t xml:space="preserve"> da carteira de investimentos dos fundos de investimentos ou demais ativos financeiros.</w:t>
      </w:r>
    </w:p>
    <w:p w14:paraId="701261D0" w14:textId="77777777" w:rsidR="00635488" w:rsidRPr="00A92A3E" w:rsidRDefault="00635488" w:rsidP="00500AE2">
      <w:pPr>
        <w:rPr>
          <w:rFonts w:asciiTheme="minorHAnsi" w:hAnsiTheme="minorHAnsi" w:cstheme="minorHAnsi"/>
          <w:sz w:val="16"/>
          <w:szCs w:val="16"/>
        </w:rPr>
      </w:pPr>
    </w:p>
    <w:p w14:paraId="303F0CFB" w14:textId="55CF1FF1" w:rsidR="00500AE2" w:rsidRPr="00A92A3E" w:rsidRDefault="000160BE" w:rsidP="000160BE">
      <w:pPr>
        <w:pStyle w:val="Ttulo2"/>
        <w:rPr>
          <w:rFonts w:asciiTheme="minorHAnsi" w:hAnsiTheme="minorHAnsi" w:cstheme="minorHAnsi"/>
          <w:sz w:val="16"/>
          <w:szCs w:val="16"/>
        </w:rPr>
      </w:pPr>
      <w:bookmarkStart w:id="98" w:name="_Toc435189695"/>
      <w:bookmarkStart w:id="99" w:name="_Toc435202753"/>
      <w:bookmarkStart w:id="100" w:name="_Toc490036559"/>
      <w:bookmarkStart w:id="101" w:name="_Toc118105150"/>
      <w:r w:rsidRPr="00A92A3E">
        <w:rPr>
          <w:rFonts w:asciiTheme="minorHAnsi" w:hAnsiTheme="minorHAnsi" w:cstheme="minorHAnsi"/>
          <w:sz w:val="16"/>
          <w:szCs w:val="16"/>
        </w:rPr>
        <w:t xml:space="preserve">Controle do Risco de </w:t>
      </w:r>
      <w:bookmarkEnd w:id="98"/>
      <w:r w:rsidRPr="00A92A3E">
        <w:rPr>
          <w:rFonts w:asciiTheme="minorHAnsi" w:hAnsiTheme="minorHAnsi" w:cstheme="minorHAnsi"/>
          <w:sz w:val="16"/>
          <w:szCs w:val="16"/>
        </w:rPr>
        <w:t>Liquidez</w:t>
      </w:r>
      <w:bookmarkEnd w:id="99"/>
      <w:bookmarkEnd w:id="100"/>
      <w:bookmarkEnd w:id="101"/>
    </w:p>
    <w:p w14:paraId="7DE1C23C" w14:textId="03EFCD30"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Nas aplicações em ativos financeiros que tem seu prazo de liquidez superior a 365 (trezentos e sessenta e cinco) dias, a aprovação de alocação dos recursos deverá ser precedida de </w:t>
      </w:r>
      <w:r w:rsidR="003454C3" w:rsidRPr="00A92A3E">
        <w:rPr>
          <w:rFonts w:asciiTheme="minorHAnsi" w:hAnsiTheme="minorHAnsi" w:cstheme="minorHAnsi"/>
          <w:sz w:val="16"/>
          <w:szCs w:val="16"/>
        </w:rPr>
        <w:t xml:space="preserve">estudo </w:t>
      </w:r>
      <w:r w:rsidRPr="00A92A3E">
        <w:rPr>
          <w:rFonts w:asciiTheme="minorHAnsi" w:hAnsiTheme="minorHAnsi" w:cstheme="minorHAnsi"/>
          <w:sz w:val="16"/>
          <w:szCs w:val="16"/>
        </w:rPr>
        <w:t xml:space="preserve">que comprove a análise de evidenciação quanto a capacidade do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em arcar com o fluxo de despesas necessárias ao cumprimento de suas obrigações atuariais, até a data da disponibilização dos recursos investidos.</w:t>
      </w:r>
    </w:p>
    <w:p w14:paraId="5C68B0D5" w14:textId="1A63E9F8" w:rsidR="00635488" w:rsidRPr="00A92A3E" w:rsidRDefault="00500AE2" w:rsidP="00FD4A54">
      <w:pPr>
        <w:rPr>
          <w:rFonts w:asciiTheme="minorHAnsi" w:hAnsiTheme="minorHAnsi" w:cstheme="minorHAnsi"/>
          <w:sz w:val="16"/>
          <w:szCs w:val="16"/>
        </w:rPr>
      </w:pPr>
      <w:r w:rsidRPr="00A92A3E">
        <w:rPr>
          <w:rFonts w:asciiTheme="minorHAnsi" w:hAnsiTheme="minorHAnsi" w:cstheme="minorHAnsi"/>
          <w:sz w:val="16"/>
          <w:szCs w:val="16"/>
        </w:rPr>
        <w:t xml:space="preserve">Entende-se como </w:t>
      </w:r>
      <w:r w:rsidR="003454C3" w:rsidRPr="00A92A3E">
        <w:rPr>
          <w:rFonts w:asciiTheme="minorHAnsi" w:hAnsiTheme="minorHAnsi" w:cstheme="minorHAnsi"/>
          <w:sz w:val="16"/>
          <w:szCs w:val="16"/>
        </w:rPr>
        <w:t xml:space="preserve">estudo </w:t>
      </w:r>
      <w:r w:rsidRPr="00A92A3E">
        <w:rPr>
          <w:rFonts w:asciiTheme="minorHAnsi" w:hAnsiTheme="minorHAnsi" w:cstheme="minorHAnsi"/>
          <w:sz w:val="16"/>
          <w:szCs w:val="16"/>
        </w:rPr>
        <w:t>que comprova a análise de evidenciação quanto a capacidade em arcar com o fluxo de despesas necessárias ao cumprimento de suas obrigações atuariais, o estudo de ALM – Asset Liability Management.</w:t>
      </w:r>
    </w:p>
    <w:p w14:paraId="7A1C1A84" w14:textId="4E4F9A0C" w:rsidR="00FD4A54" w:rsidRPr="00A92A3E" w:rsidRDefault="00FD4A54" w:rsidP="00FD4A54">
      <w:pPr>
        <w:pStyle w:val="Ttulo2"/>
        <w:rPr>
          <w:rFonts w:asciiTheme="minorHAnsi" w:hAnsiTheme="minorHAnsi" w:cstheme="minorHAnsi"/>
          <w:sz w:val="16"/>
          <w:szCs w:val="16"/>
        </w:rPr>
      </w:pPr>
      <w:r w:rsidRPr="00A92A3E">
        <w:rPr>
          <w:rFonts w:asciiTheme="minorHAnsi" w:hAnsiTheme="minorHAnsi" w:cstheme="minorHAnsi"/>
          <w:sz w:val="16"/>
          <w:szCs w:val="16"/>
        </w:rPr>
        <w:t>Controle d</w:t>
      </w:r>
      <w:r w:rsidR="00871FD8" w:rsidRPr="00A92A3E">
        <w:rPr>
          <w:rFonts w:asciiTheme="minorHAnsi" w:hAnsiTheme="minorHAnsi" w:cstheme="minorHAnsi"/>
          <w:sz w:val="16"/>
          <w:szCs w:val="16"/>
        </w:rPr>
        <w:t>o</w:t>
      </w:r>
      <w:r w:rsidRPr="00A92A3E">
        <w:rPr>
          <w:rFonts w:asciiTheme="minorHAnsi" w:hAnsiTheme="minorHAnsi" w:cstheme="minorHAnsi"/>
          <w:sz w:val="16"/>
          <w:szCs w:val="16"/>
        </w:rPr>
        <w:t xml:space="preserve"> Risco Operacional</w:t>
      </w:r>
      <w:r w:rsidR="006A1E8D" w:rsidRPr="00A92A3E">
        <w:rPr>
          <w:rFonts w:asciiTheme="minorHAnsi" w:hAnsiTheme="minorHAnsi" w:cstheme="minorHAnsi"/>
          <w:sz w:val="16"/>
          <w:szCs w:val="16"/>
        </w:rPr>
        <w:t xml:space="preserve"> e Legal</w:t>
      </w:r>
    </w:p>
    <w:p w14:paraId="53FB81DB" w14:textId="7C834D6A" w:rsidR="009072F6" w:rsidRPr="00A92A3E" w:rsidRDefault="003C1219" w:rsidP="003C1219">
      <w:pPr>
        <w:rPr>
          <w:rFonts w:asciiTheme="minorHAnsi" w:hAnsiTheme="minorHAnsi" w:cstheme="minorHAnsi"/>
          <w:sz w:val="16"/>
          <w:szCs w:val="16"/>
        </w:rPr>
      </w:pPr>
      <w:r w:rsidRPr="00A92A3E">
        <w:rPr>
          <w:rFonts w:asciiTheme="minorHAnsi" w:hAnsiTheme="minorHAnsi" w:cstheme="minorHAnsi"/>
          <w:sz w:val="16"/>
          <w:szCs w:val="16"/>
        </w:rPr>
        <w:t xml:space="preserve">Para minimizar o impacto causado por erros operacionais e legais, que levam a possíveis </w:t>
      </w:r>
      <w:r w:rsidR="00C24AE2" w:rsidRPr="00A92A3E">
        <w:rPr>
          <w:rFonts w:asciiTheme="minorHAnsi" w:hAnsiTheme="minorHAnsi" w:cstheme="minorHAnsi"/>
          <w:sz w:val="16"/>
          <w:szCs w:val="16"/>
        </w:rPr>
        <w:t xml:space="preserve">perdas financeiras, danos à reputação, interrupção das operações ou até </w:t>
      </w:r>
      <w:r w:rsidR="001258EF" w:rsidRPr="00A92A3E">
        <w:rPr>
          <w:rFonts w:asciiTheme="minorHAnsi" w:hAnsiTheme="minorHAnsi" w:cstheme="minorHAnsi"/>
          <w:sz w:val="16"/>
          <w:szCs w:val="16"/>
        </w:rPr>
        <w:t xml:space="preserve">processos </w:t>
      </w:r>
      <w:r w:rsidR="001F6A78" w:rsidRPr="00A92A3E">
        <w:rPr>
          <w:rFonts w:asciiTheme="minorHAnsi" w:hAnsiTheme="minorHAnsi" w:cstheme="minorHAnsi"/>
          <w:sz w:val="16"/>
          <w:szCs w:val="16"/>
        </w:rPr>
        <w:t xml:space="preserve">administrativos </w:t>
      </w:r>
      <w:r w:rsidR="001258EF" w:rsidRPr="00A92A3E">
        <w:rPr>
          <w:rFonts w:asciiTheme="minorHAnsi" w:hAnsiTheme="minorHAnsi" w:cstheme="minorHAnsi"/>
          <w:sz w:val="16"/>
          <w:szCs w:val="16"/>
        </w:rPr>
        <w:t>e sindicâncias</w:t>
      </w:r>
      <w:r w:rsidR="00492C2B"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classifica como </w:t>
      </w:r>
      <w:r w:rsidR="009072F6" w:rsidRPr="00A92A3E">
        <w:rPr>
          <w:rFonts w:asciiTheme="minorHAnsi" w:hAnsiTheme="minorHAnsi" w:cstheme="minorHAnsi"/>
          <w:sz w:val="16"/>
          <w:szCs w:val="16"/>
        </w:rPr>
        <w:t>importante</w:t>
      </w:r>
      <w:r w:rsidRPr="00A92A3E">
        <w:rPr>
          <w:rFonts w:asciiTheme="minorHAnsi" w:hAnsiTheme="minorHAnsi" w:cstheme="minorHAnsi"/>
          <w:sz w:val="16"/>
          <w:szCs w:val="16"/>
        </w:rPr>
        <w:t xml:space="preserve"> a implantação do</w:t>
      </w:r>
      <w:r w:rsidR="009072F6" w:rsidRPr="00A92A3E">
        <w:rPr>
          <w:rFonts w:asciiTheme="minorHAnsi" w:hAnsiTheme="minorHAnsi" w:cstheme="minorHAnsi"/>
          <w:sz w:val="16"/>
          <w:szCs w:val="16"/>
        </w:rPr>
        <w:t xml:space="preserve"> processo de gestão de riscos</w:t>
      </w:r>
      <w:r w:rsidRPr="00A92A3E">
        <w:rPr>
          <w:rFonts w:asciiTheme="minorHAnsi" w:hAnsiTheme="minorHAnsi" w:cstheme="minorHAnsi"/>
          <w:sz w:val="16"/>
          <w:szCs w:val="16"/>
        </w:rPr>
        <w:t>, que possibilitem</w:t>
      </w:r>
      <w:r w:rsidR="009072F6" w:rsidRPr="00A92A3E">
        <w:rPr>
          <w:rFonts w:asciiTheme="minorHAnsi" w:hAnsiTheme="minorHAnsi" w:cstheme="minorHAnsi"/>
          <w:sz w:val="16"/>
          <w:szCs w:val="16"/>
        </w:rPr>
        <w:t xml:space="preserve"> identificar, avaliar e mitigar</w:t>
      </w:r>
      <w:r w:rsidRPr="00A92A3E">
        <w:rPr>
          <w:rFonts w:asciiTheme="minorHAnsi" w:hAnsiTheme="minorHAnsi" w:cstheme="minorHAnsi"/>
          <w:sz w:val="16"/>
          <w:szCs w:val="16"/>
        </w:rPr>
        <w:t xml:space="preserve"> esses</w:t>
      </w:r>
      <w:r w:rsidR="009072F6" w:rsidRPr="00A92A3E">
        <w:rPr>
          <w:rFonts w:asciiTheme="minorHAnsi" w:hAnsiTheme="minorHAnsi" w:cstheme="minorHAnsi"/>
          <w:sz w:val="16"/>
          <w:szCs w:val="16"/>
        </w:rPr>
        <w:t xml:space="preserve"> riscos.</w:t>
      </w:r>
    </w:p>
    <w:p w14:paraId="0D0F9BF3" w14:textId="634830B1" w:rsidR="00362C05" w:rsidRPr="00A92A3E" w:rsidRDefault="009072F6" w:rsidP="00FD4A54">
      <w:pPr>
        <w:rPr>
          <w:rFonts w:asciiTheme="minorHAnsi" w:hAnsiTheme="minorHAnsi" w:cstheme="minorHAnsi"/>
          <w:sz w:val="16"/>
          <w:szCs w:val="16"/>
        </w:rPr>
      </w:pPr>
      <w:r w:rsidRPr="00A92A3E">
        <w:rPr>
          <w:rFonts w:asciiTheme="minorHAnsi" w:hAnsiTheme="minorHAnsi" w:cstheme="minorHAnsi"/>
          <w:sz w:val="16"/>
          <w:szCs w:val="16"/>
        </w:rPr>
        <w:t>O</w:t>
      </w:r>
      <w:r w:rsidR="001F6A78" w:rsidRPr="00A92A3E">
        <w:rPr>
          <w:rFonts w:asciiTheme="minorHAnsi" w:hAnsiTheme="minorHAnsi" w:cstheme="minorHAnsi"/>
          <w:sz w:val="16"/>
          <w:szCs w:val="16"/>
        </w:rPr>
        <w:t xml:space="preserve">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001F6A78" w:rsidRPr="00A92A3E">
        <w:rPr>
          <w:rFonts w:asciiTheme="minorHAnsi" w:hAnsiTheme="minorHAnsi" w:cstheme="minorHAnsi"/>
          <w:sz w:val="16"/>
          <w:szCs w:val="16"/>
        </w:rPr>
        <w:t>adotará</w:t>
      </w:r>
      <w:r w:rsidRPr="00A92A3E">
        <w:rPr>
          <w:rFonts w:asciiTheme="minorHAnsi" w:hAnsiTheme="minorHAnsi" w:cstheme="minorHAnsi"/>
          <w:sz w:val="16"/>
          <w:szCs w:val="16"/>
        </w:rPr>
        <w:t xml:space="preserve"> </w:t>
      </w:r>
      <w:r w:rsidR="003C1219" w:rsidRPr="00A92A3E">
        <w:rPr>
          <w:rFonts w:asciiTheme="minorHAnsi" w:hAnsiTheme="minorHAnsi" w:cstheme="minorHAnsi"/>
          <w:sz w:val="16"/>
          <w:szCs w:val="16"/>
        </w:rPr>
        <w:t xml:space="preserve">a Certificação Institucional </w:t>
      </w:r>
      <w:r w:rsidR="000F7D32" w:rsidRPr="00A92A3E">
        <w:rPr>
          <w:rFonts w:asciiTheme="minorHAnsi" w:hAnsiTheme="minorHAnsi" w:cstheme="minorHAnsi"/>
          <w:sz w:val="16"/>
          <w:szCs w:val="16"/>
        </w:rPr>
        <w:t>Pró-Gestão como mecanismo</w:t>
      </w:r>
      <w:r w:rsidR="003C1219" w:rsidRPr="00A92A3E">
        <w:rPr>
          <w:rFonts w:asciiTheme="minorHAnsi" w:hAnsiTheme="minorHAnsi" w:cstheme="minorHAnsi"/>
          <w:sz w:val="16"/>
          <w:szCs w:val="16"/>
        </w:rPr>
        <w:t xml:space="preserve"> e sistema</w:t>
      </w:r>
      <w:r w:rsidR="000F7D32" w:rsidRPr="00A92A3E">
        <w:rPr>
          <w:rFonts w:asciiTheme="minorHAnsi" w:hAnsiTheme="minorHAnsi" w:cstheme="minorHAnsi"/>
          <w:sz w:val="16"/>
          <w:szCs w:val="16"/>
        </w:rPr>
        <w:t xml:space="preserve"> de qualidade</w:t>
      </w:r>
      <w:r w:rsidR="00562FB5" w:rsidRPr="00A92A3E">
        <w:rPr>
          <w:rFonts w:asciiTheme="minorHAnsi" w:hAnsiTheme="minorHAnsi" w:cstheme="minorHAnsi"/>
          <w:sz w:val="16"/>
          <w:szCs w:val="16"/>
        </w:rPr>
        <w:t xml:space="preserve"> </w:t>
      </w:r>
      <w:r w:rsidRPr="00A92A3E">
        <w:rPr>
          <w:rFonts w:asciiTheme="minorHAnsi" w:hAnsiTheme="minorHAnsi" w:cstheme="minorHAnsi"/>
          <w:sz w:val="16"/>
          <w:szCs w:val="16"/>
        </w:rPr>
        <w:t>para minimizar o impacto</w:t>
      </w:r>
      <w:r w:rsidR="00D1663C" w:rsidRPr="00A92A3E">
        <w:rPr>
          <w:rFonts w:asciiTheme="minorHAnsi" w:hAnsiTheme="minorHAnsi" w:cstheme="minorHAnsi"/>
          <w:sz w:val="16"/>
          <w:szCs w:val="16"/>
        </w:rPr>
        <w:t xml:space="preserve"> do risco operacional e legal</w:t>
      </w:r>
      <w:r w:rsidR="00562FB5" w:rsidRPr="00A92A3E">
        <w:rPr>
          <w:rFonts w:asciiTheme="minorHAnsi" w:hAnsiTheme="minorHAnsi" w:cstheme="minorHAnsi"/>
          <w:sz w:val="16"/>
          <w:szCs w:val="16"/>
        </w:rPr>
        <w:t>.</w:t>
      </w:r>
    </w:p>
    <w:p w14:paraId="37F6F081" w14:textId="61A950A2" w:rsidR="00104A72" w:rsidRPr="00A92A3E" w:rsidRDefault="00F934E2" w:rsidP="00FD4A54">
      <w:pPr>
        <w:rPr>
          <w:rFonts w:asciiTheme="minorHAnsi" w:hAnsiTheme="minorHAnsi" w:cstheme="minorHAnsi"/>
          <w:sz w:val="16"/>
          <w:szCs w:val="16"/>
        </w:rPr>
      </w:pPr>
      <w:r w:rsidRPr="00A92A3E">
        <w:rPr>
          <w:rFonts w:asciiTheme="minorHAnsi" w:hAnsiTheme="minorHAnsi" w:cstheme="minorHAnsi"/>
          <w:sz w:val="16"/>
          <w:szCs w:val="16"/>
        </w:rPr>
        <w:t xml:space="preserve">A adesão a Certificação Institucional Pró-Gestão tem por objetivo incentivar 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a adotar melhores práticas de gestão </w:t>
      </w:r>
      <w:r w:rsidR="00291F53" w:rsidRPr="00A92A3E">
        <w:rPr>
          <w:rFonts w:asciiTheme="minorHAnsi" w:hAnsiTheme="minorHAnsi" w:cstheme="minorHAnsi"/>
          <w:sz w:val="16"/>
          <w:szCs w:val="16"/>
        </w:rPr>
        <w:t>e governança</w:t>
      </w:r>
      <w:r w:rsidRPr="00A92A3E">
        <w:rPr>
          <w:rFonts w:asciiTheme="minorHAnsi" w:hAnsiTheme="minorHAnsi" w:cstheme="minorHAnsi"/>
          <w:sz w:val="16"/>
          <w:szCs w:val="16"/>
        </w:rPr>
        <w:t xml:space="preserve">, </w:t>
      </w:r>
      <w:r w:rsidR="00291F53" w:rsidRPr="00A92A3E">
        <w:rPr>
          <w:rFonts w:asciiTheme="minorHAnsi" w:hAnsiTheme="minorHAnsi" w:cstheme="minorHAnsi"/>
          <w:sz w:val="16"/>
          <w:szCs w:val="16"/>
        </w:rPr>
        <w:t>proporcionando</w:t>
      </w:r>
      <w:r w:rsidRPr="00A92A3E">
        <w:rPr>
          <w:rFonts w:asciiTheme="minorHAnsi" w:hAnsiTheme="minorHAnsi" w:cstheme="minorHAnsi"/>
          <w:sz w:val="16"/>
          <w:szCs w:val="16"/>
        </w:rPr>
        <w:t xml:space="preserve"> maior controle dos seus ativos e passivos, </w:t>
      </w:r>
      <w:r w:rsidR="0036587D" w:rsidRPr="00A92A3E">
        <w:rPr>
          <w:rFonts w:asciiTheme="minorHAnsi" w:hAnsiTheme="minorHAnsi" w:cstheme="minorHAnsi"/>
          <w:sz w:val="16"/>
          <w:szCs w:val="16"/>
        </w:rPr>
        <w:t>aprimoramento</w:t>
      </w:r>
      <w:r w:rsidR="00AD5B16" w:rsidRPr="00A92A3E">
        <w:rPr>
          <w:rFonts w:asciiTheme="minorHAnsi" w:hAnsiTheme="minorHAnsi" w:cstheme="minorHAnsi"/>
          <w:sz w:val="16"/>
          <w:szCs w:val="16"/>
        </w:rPr>
        <w:t xml:space="preserve"> d</w:t>
      </w:r>
      <w:r w:rsidR="0036587D" w:rsidRPr="00A92A3E">
        <w:rPr>
          <w:rFonts w:asciiTheme="minorHAnsi" w:hAnsiTheme="minorHAnsi" w:cstheme="minorHAnsi"/>
          <w:sz w:val="16"/>
          <w:szCs w:val="16"/>
        </w:rPr>
        <w:t>a</w:t>
      </w:r>
      <w:r w:rsidR="00AD5B16" w:rsidRPr="00A92A3E">
        <w:rPr>
          <w:rFonts w:asciiTheme="minorHAnsi" w:hAnsiTheme="minorHAnsi" w:cstheme="minorHAnsi"/>
          <w:sz w:val="16"/>
          <w:szCs w:val="16"/>
        </w:rPr>
        <w:t xml:space="preserve"> qualidade</w:t>
      </w:r>
      <w:r w:rsidR="0036587D" w:rsidRPr="00A92A3E">
        <w:rPr>
          <w:rFonts w:asciiTheme="minorHAnsi" w:hAnsiTheme="minorHAnsi" w:cstheme="minorHAnsi"/>
          <w:sz w:val="16"/>
          <w:szCs w:val="16"/>
        </w:rPr>
        <w:t xml:space="preserve"> da governança no âmbito da gestão dos riscos, </w:t>
      </w:r>
      <w:r w:rsidRPr="00A92A3E">
        <w:rPr>
          <w:rFonts w:asciiTheme="minorHAnsi" w:hAnsiTheme="minorHAnsi" w:cstheme="minorHAnsi"/>
          <w:sz w:val="16"/>
          <w:szCs w:val="16"/>
        </w:rPr>
        <w:t>mais transparência no relacionamento com os segurados e a sociedade.</w:t>
      </w:r>
    </w:p>
    <w:p w14:paraId="76CC0339" w14:textId="27E4FBAD" w:rsidR="00500AE2" w:rsidRPr="00A92A3E" w:rsidRDefault="002F7351" w:rsidP="00104A72">
      <w:pPr>
        <w:pStyle w:val="Ttulo1"/>
        <w:rPr>
          <w:rFonts w:asciiTheme="minorHAnsi" w:hAnsiTheme="minorHAnsi" w:cstheme="minorHAnsi"/>
          <w:sz w:val="16"/>
          <w:szCs w:val="16"/>
        </w:rPr>
      </w:pPr>
      <w:bookmarkStart w:id="102" w:name="_Toc118105152"/>
      <w:bookmarkStart w:id="103" w:name="_Toc150330296"/>
      <w:r w:rsidRPr="00A92A3E">
        <w:rPr>
          <w:rFonts w:asciiTheme="minorHAnsi" w:hAnsiTheme="minorHAnsi" w:cstheme="minorHAnsi"/>
          <w:sz w:val="16"/>
          <w:szCs w:val="16"/>
        </w:rPr>
        <w:t>ESTUDO DE ALM - ASSET LIABILITY MANAGEMENT</w:t>
      </w:r>
      <w:bookmarkEnd w:id="102"/>
      <w:bookmarkEnd w:id="103"/>
    </w:p>
    <w:p w14:paraId="0BA49D0B" w14:textId="5BF2FEFA"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As aplicações dos recursos e sua continuidade deverão observar a compatibilidade dos ativos investidos com os prazos, montantes e taxas das obrigações atuariais presentes e futuras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com o objetivo de manter o equilíbrio econômico-financeiro entre ativos e passivos.</w:t>
      </w:r>
    </w:p>
    <w:p w14:paraId="452961DF" w14:textId="3D34DE36"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Para garantir a compatibilidade, os responsáveis pelo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devem manter os procedimentos e controles internos formalizados para a gestão do risco de liquidez das aplicações de forma que os recursos estejam disponíveis na data do pagamento dos benefícios e demais obrigações. Deverão inclusive realizar o acompanhamento dos fluxos de pagamentos dos ativos, assegurando o cumprimento dos prazos e dos montantes das obrigações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w:t>
      </w:r>
    </w:p>
    <w:p w14:paraId="5F9C8EA9" w14:textId="43F6EB8D"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Para se fazer cumprir as obrigatoriedades descritas acima, 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buscará a adoção da ferramenta de gestão conhecida como estudo de ALM – Asset Liability Management.</w:t>
      </w:r>
    </w:p>
    <w:p w14:paraId="1419E3C1" w14:textId="7C9165CE"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O estudo compreende a forma pormenorizadamente da liquidez da carteira de investimentos em honrar os compromissos presentes e futuros, proporcionado ao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a busca pela otimização da carteira de investimentos, apresentando a melhor trajetória para o cumprimento da meta de rentabilidade, resguardando o melhor resultado financeiro possível também no longo prazo.</w:t>
      </w:r>
    </w:p>
    <w:p w14:paraId="3499E3CF" w14:textId="256F4F96" w:rsidR="00195C3D" w:rsidRPr="00A92A3E" w:rsidRDefault="00500AE2" w:rsidP="0072415A">
      <w:pPr>
        <w:rPr>
          <w:rFonts w:asciiTheme="minorHAnsi" w:hAnsiTheme="minorHAnsi" w:cstheme="minorHAnsi"/>
          <w:sz w:val="16"/>
          <w:szCs w:val="16"/>
        </w:rPr>
      </w:pPr>
      <w:r w:rsidRPr="00A92A3E">
        <w:rPr>
          <w:rFonts w:asciiTheme="minorHAnsi" w:hAnsiTheme="minorHAnsi" w:cstheme="minorHAnsi"/>
          <w:sz w:val="16"/>
          <w:szCs w:val="16"/>
        </w:rPr>
        <w:t>O estudo de ALM – Asset Liability Management deverá ser providenciado no mínimo uma vez ao ano, após o fechamento da Avaliação Atuarial, sendo necessário seu acompanhamento periódico, com emissão de Relatórios de Acompanhamento que proporcionará as atualizações de seus resultados em uma linha temporal não superior a um semestre.</w:t>
      </w:r>
    </w:p>
    <w:p w14:paraId="4D947027" w14:textId="0670E43B" w:rsidR="00500AE2" w:rsidRPr="00A92A3E" w:rsidRDefault="002F7351" w:rsidP="00A278FF">
      <w:pPr>
        <w:pStyle w:val="Ttulo1"/>
        <w:rPr>
          <w:rFonts w:asciiTheme="minorHAnsi" w:hAnsiTheme="minorHAnsi" w:cstheme="minorHAnsi"/>
          <w:sz w:val="16"/>
          <w:szCs w:val="16"/>
        </w:rPr>
      </w:pPr>
      <w:bookmarkStart w:id="104" w:name="_Toc118105153"/>
      <w:bookmarkStart w:id="105" w:name="_Toc150330297"/>
      <w:r w:rsidRPr="00A92A3E">
        <w:rPr>
          <w:rFonts w:asciiTheme="minorHAnsi" w:hAnsiTheme="minorHAnsi" w:cstheme="minorHAnsi"/>
          <w:sz w:val="16"/>
          <w:szCs w:val="16"/>
        </w:rPr>
        <w:t>EQUILÍBRIO ECONÔMICO E FINANCEIRO</w:t>
      </w:r>
      <w:bookmarkEnd w:id="104"/>
      <w:bookmarkEnd w:id="105"/>
      <w:r w:rsidRPr="00A92A3E">
        <w:rPr>
          <w:rFonts w:asciiTheme="minorHAnsi" w:hAnsiTheme="minorHAnsi" w:cstheme="minorHAnsi"/>
          <w:sz w:val="16"/>
          <w:szCs w:val="16"/>
        </w:rPr>
        <w:t xml:space="preserve"> </w:t>
      </w:r>
    </w:p>
    <w:p w14:paraId="529F7530" w14:textId="7B08C173" w:rsidR="00500AE2" w:rsidRPr="00A92A3E" w:rsidRDefault="00500AE2" w:rsidP="00500AE2">
      <w:pPr>
        <w:rPr>
          <w:rFonts w:asciiTheme="minorHAnsi" w:hAnsiTheme="minorHAnsi" w:cstheme="minorHAnsi"/>
          <w:bCs/>
          <w:sz w:val="16"/>
          <w:szCs w:val="16"/>
          <w:highlight w:val="yellow"/>
        </w:rPr>
      </w:pPr>
      <w:r w:rsidRPr="00A92A3E">
        <w:rPr>
          <w:rFonts w:asciiTheme="minorHAnsi" w:hAnsiTheme="minorHAnsi" w:cstheme="minorHAnsi"/>
          <w:bCs/>
          <w:sz w:val="16"/>
          <w:szCs w:val="16"/>
        </w:rPr>
        <w:t>Em atendimento ao Art</w:t>
      </w:r>
      <w:r w:rsidR="00885A39" w:rsidRPr="00A92A3E">
        <w:rPr>
          <w:rFonts w:asciiTheme="minorHAnsi" w:hAnsiTheme="minorHAnsi" w:cstheme="minorHAnsi"/>
          <w:bCs/>
          <w:sz w:val="16"/>
          <w:szCs w:val="16"/>
        </w:rPr>
        <w:t>.</w:t>
      </w:r>
      <w:r w:rsidRPr="00A92A3E">
        <w:rPr>
          <w:rFonts w:asciiTheme="minorHAnsi" w:hAnsiTheme="minorHAnsi" w:cstheme="minorHAnsi"/>
          <w:bCs/>
          <w:sz w:val="16"/>
          <w:szCs w:val="16"/>
        </w:rPr>
        <w:t xml:space="preserve"> </w:t>
      </w:r>
      <w:r w:rsidRPr="00A92A3E">
        <w:rPr>
          <w:rFonts w:asciiTheme="minorHAnsi" w:hAnsiTheme="minorHAnsi" w:cstheme="minorHAnsi"/>
          <w:sz w:val="16"/>
          <w:szCs w:val="16"/>
        </w:rPr>
        <w:t>64</w:t>
      </w:r>
      <w:r w:rsidR="00885A39" w:rsidRPr="00A92A3E">
        <w:rPr>
          <w:rFonts w:asciiTheme="minorHAnsi" w:hAnsiTheme="minorHAnsi" w:cstheme="minorHAnsi"/>
          <w:sz w:val="16"/>
          <w:szCs w:val="16"/>
        </w:rPr>
        <w:t>,</w:t>
      </w:r>
      <w:r w:rsidRPr="00A92A3E">
        <w:rPr>
          <w:rFonts w:asciiTheme="minorHAnsi" w:hAnsiTheme="minorHAnsi" w:cstheme="minorHAnsi"/>
          <w:sz w:val="16"/>
          <w:szCs w:val="16"/>
        </w:rPr>
        <w:t xml:space="preserve"> </w:t>
      </w:r>
      <w:r w:rsidRPr="00A92A3E">
        <w:rPr>
          <w:rFonts w:asciiTheme="minorHAnsi" w:hAnsiTheme="minorHAnsi" w:cstheme="minorHAnsi"/>
          <w:bCs/>
          <w:sz w:val="16"/>
          <w:szCs w:val="16"/>
        </w:rPr>
        <w:t xml:space="preserve">§1º e §2º da Portaria </w:t>
      </w:r>
      <w:r w:rsidR="000A5628" w:rsidRPr="00A92A3E">
        <w:rPr>
          <w:rFonts w:asciiTheme="minorHAnsi" w:hAnsiTheme="minorHAnsi" w:cstheme="minorHAnsi"/>
          <w:bCs/>
          <w:sz w:val="16"/>
          <w:szCs w:val="16"/>
        </w:rPr>
        <w:t xml:space="preserve">MTP nº </w:t>
      </w:r>
      <w:r w:rsidRPr="00A92A3E">
        <w:rPr>
          <w:rFonts w:asciiTheme="minorHAnsi" w:hAnsiTheme="minorHAnsi" w:cstheme="minorHAnsi"/>
          <w:sz w:val="16"/>
          <w:szCs w:val="16"/>
        </w:rPr>
        <w:t>1.467/2022</w:t>
      </w:r>
      <w:r w:rsidRPr="00A92A3E">
        <w:rPr>
          <w:rFonts w:asciiTheme="minorHAnsi" w:hAnsiTheme="minorHAnsi" w:cstheme="minorHAnsi"/>
          <w:bCs/>
          <w:sz w:val="16"/>
          <w:szCs w:val="16"/>
        </w:rPr>
        <w:t xml:space="preserve">, 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 xml:space="preserve">adotará medidas para honrar os compromissos estabelecidos no </w:t>
      </w:r>
      <w:r w:rsidR="009054C4" w:rsidRPr="00A92A3E">
        <w:rPr>
          <w:rFonts w:asciiTheme="minorHAnsi" w:hAnsiTheme="minorHAnsi" w:cstheme="minorHAnsi"/>
          <w:bCs/>
          <w:sz w:val="16"/>
          <w:szCs w:val="16"/>
        </w:rPr>
        <w:t>P</w:t>
      </w:r>
      <w:r w:rsidRPr="00A92A3E">
        <w:rPr>
          <w:rFonts w:asciiTheme="minorHAnsi" w:hAnsiTheme="minorHAnsi" w:cstheme="minorHAnsi"/>
          <w:bCs/>
          <w:sz w:val="16"/>
          <w:szCs w:val="16"/>
        </w:rPr>
        <w:t xml:space="preserve">lano de </w:t>
      </w:r>
      <w:r w:rsidR="009054C4" w:rsidRPr="00A92A3E">
        <w:rPr>
          <w:rFonts w:asciiTheme="minorHAnsi" w:hAnsiTheme="minorHAnsi" w:cstheme="minorHAnsi"/>
          <w:bCs/>
          <w:sz w:val="16"/>
          <w:szCs w:val="16"/>
        </w:rPr>
        <w:t>C</w:t>
      </w:r>
      <w:r w:rsidRPr="00A92A3E">
        <w:rPr>
          <w:rFonts w:asciiTheme="minorHAnsi" w:hAnsiTheme="minorHAnsi" w:cstheme="minorHAnsi"/>
          <w:bCs/>
          <w:sz w:val="16"/>
          <w:szCs w:val="16"/>
        </w:rPr>
        <w:t>usteio</w:t>
      </w:r>
      <w:r w:rsidR="00844098"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 xml:space="preserve">e/ou </w:t>
      </w:r>
      <w:r w:rsidR="009054C4" w:rsidRPr="00A92A3E">
        <w:rPr>
          <w:rFonts w:asciiTheme="minorHAnsi" w:hAnsiTheme="minorHAnsi" w:cstheme="minorHAnsi"/>
          <w:bCs/>
          <w:sz w:val="16"/>
          <w:szCs w:val="16"/>
        </w:rPr>
        <w:t>S</w:t>
      </w:r>
      <w:r w:rsidRPr="00A92A3E">
        <w:rPr>
          <w:rFonts w:asciiTheme="minorHAnsi" w:hAnsiTheme="minorHAnsi" w:cstheme="minorHAnsi"/>
          <w:bCs/>
          <w:sz w:val="16"/>
          <w:szCs w:val="16"/>
        </w:rPr>
        <w:t xml:space="preserve">egregação de </w:t>
      </w:r>
      <w:r w:rsidR="009054C4" w:rsidRPr="00A92A3E">
        <w:rPr>
          <w:rFonts w:asciiTheme="minorHAnsi" w:hAnsiTheme="minorHAnsi" w:cstheme="minorHAnsi"/>
          <w:bCs/>
          <w:sz w:val="16"/>
          <w:szCs w:val="16"/>
        </w:rPr>
        <w:t>M</w:t>
      </w:r>
      <w:r w:rsidRPr="00A92A3E">
        <w:rPr>
          <w:rFonts w:asciiTheme="minorHAnsi" w:hAnsiTheme="minorHAnsi" w:cstheme="minorHAnsi"/>
          <w:bCs/>
          <w:sz w:val="16"/>
          <w:szCs w:val="16"/>
        </w:rPr>
        <w:t xml:space="preserve">assa, </w:t>
      </w:r>
      <w:r w:rsidR="00844098" w:rsidRPr="00A92A3E">
        <w:rPr>
          <w:rFonts w:asciiTheme="minorHAnsi" w:hAnsiTheme="minorHAnsi" w:cstheme="minorHAnsi"/>
          <w:bCs/>
          <w:sz w:val="16"/>
          <w:szCs w:val="16"/>
        </w:rPr>
        <w:t xml:space="preserve">se houver, </w:t>
      </w:r>
      <w:r w:rsidRPr="00A92A3E">
        <w:rPr>
          <w:rFonts w:asciiTheme="minorHAnsi" w:hAnsiTheme="minorHAnsi" w:cstheme="minorHAnsi"/>
          <w:bCs/>
          <w:sz w:val="16"/>
          <w:szCs w:val="16"/>
        </w:rPr>
        <w:t xml:space="preserve">além da adequação do </w:t>
      </w:r>
      <w:r w:rsidR="00844098" w:rsidRPr="00A92A3E">
        <w:rPr>
          <w:rFonts w:asciiTheme="minorHAnsi" w:hAnsiTheme="minorHAnsi" w:cstheme="minorHAnsi"/>
          <w:bCs/>
          <w:sz w:val="16"/>
          <w:szCs w:val="16"/>
        </w:rPr>
        <w:t>P</w:t>
      </w:r>
      <w:r w:rsidRPr="00A92A3E">
        <w:rPr>
          <w:rFonts w:asciiTheme="minorHAnsi" w:hAnsiTheme="minorHAnsi" w:cstheme="minorHAnsi"/>
          <w:bCs/>
          <w:sz w:val="16"/>
          <w:szCs w:val="16"/>
        </w:rPr>
        <w:t xml:space="preserve">lano de </w:t>
      </w:r>
      <w:r w:rsidR="00844098" w:rsidRPr="00A92A3E">
        <w:rPr>
          <w:rFonts w:asciiTheme="minorHAnsi" w:hAnsiTheme="minorHAnsi" w:cstheme="minorHAnsi"/>
          <w:bCs/>
          <w:sz w:val="16"/>
          <w:szCs w:val="16"/>
        </w:rPr>
        <w:t>C</w:t>
      </w:r>
      <w:r w:rsidRPr="00A92A3E">
        <w:rPr>
          <w:rFonts w:asciiTheme="minorHAnsi" w:hAnsiTheme="minorHAnsi" w:cstheme="minorHAnsi"/>
          <w:bCs/>
          <w:sz w:val="16"/>
          <w:szCs w:val="16"/>
        </w:rPr>
        <w:t xml:space="preserve">usteio </w:t>
      </w:r>
      <w:r w:rsidR="00844098" w:rsidRPr="00A92A3E">
        <w:rPr>
          <w:rFonts w:asciiTheme="minorHAnsi" w:hAnsiTheme="minorHAnsi" w:cstheme="minorHAnsi"/>
          <w:bCs/>
          <w:sz w:val="16"/>
          <w:szCs w:val="16"/>
        </w:rPr>
        <w:t>aprovado e sua compatibilidade com a</w:t>
      </w:r>
      <w:r w:rsidRPr="00A92A3E">
        <w:rPr>
          <w:rFonts w:asciiTheme="minorHAnsi" w:hAnsiTheme="minorHAnsi" w:cstheme="minorHAnsi"/>
          <w:bCs/>
          <w:sz w:val="16"/>
          <w:szCs w:val="16"/>
        </w:rPr>
        <w:t xml:space="preserve"> capacidade orçamentaria e financeira</w:t>
      </w:r>
      <w:r w:rsidR="009054C4" w:rsidRPr="00A92A3E">
        <w:rPr>
          <w:rFonts w:asciiTheme="minorHAnsi" w:hAnsiTheme="minorHAnsi" w:cstheme="minorHAnsi"/>
          <w:bCs/>
          <w:sz w:val="16"/>
          <w:szCs w:val="16"/>
        </w:rPr>
        <w:t xml:space="preserve"> do Ente Federativo</w:t>
      </w:r>
      <w:r w:rsidRPr="00A92A3E">
        <w:rPr>
          <w:rFonts w:asciiTheme="minorHAnsi" w:hAnsiTheme="minorHAnsi" w:cstheme="minorHAnsi"/>
          <w:bCs/>
          <w:sz w:val="16"/>
          <w:szCs w:val="16"/>
        </w:rPr>
        <w:t>.</w:t>
      </w:r>
    </w:p>
    <w:p w14:paraId="2D652E3F" w14:textId="0038735A" w:rsidR="00017C4F" w:rsidRPr="00A92A3E" w:rsidRDefault="00844098" w:rsidP="00500AE2">
      <w:pPr>
        <w:rPr>
          <w:rFonts w:asciiTheme="minorHAnsi" w:hAnsiTheme="minorHAnsi" w:cstheme="minorHAnsi"/>
          <w:sz w:val="16"/>
          <w:szCs w:val="16"/>
        </w:rPr>
      </w:pPr>
      <w:r w:rsidRPr="00A92A3E">
        <w:rPr>
          <w:rFonts w:asciiTheme="minorHAnsi" w:hAnsiTheme="minorHAnsi" w:cstheme="minorHAnsi"/>
          <w:sz w:val="16"/>
          <w:szCs w:val="16"/>
        </w:rPr>
        <w:t>Neste sentido,</w:t>
      </w:r>
      <w:r w:rsidR="00500AE2"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buscará </w:t>
      </w:r>
      <w:r w:rsidR="004D5948" w:rsidRPr="00A92A3E">
        <w:rPr>
          <w:rFonts w:asciiTheme="minorHAnsi" w:hAnsiTheme="minorHAnsi" w:cstheme="minorHAnsi"/>
          <w:sz w:val="16"/>
          <w:szCs w:val="16"/>
        </w:rPr>
        <w:t xml:space="preserve">consultoria especializada para emissão de </w:t>
      </w:r>
      <w:r w:rsidR="00500AE2" w:rsidRPr="00A92A3E">
        <w:rPr>
          <w:rFonts w:asciiTheme="minorHAnsi" w:hAnsiTheme="minorHAnsi" w:cstheme="minorHAnsi"/>
          <w:sz w:val="16"/>
          <w:szCs w:val="16"/>
        </w:rPr>
        <w:t xml:space="preserve">estudo </w:t>
      </w:r>
      <w:r w:rsidR="00155C71" w:rsidRPr="00A92A3E">
        <w:rPr>
          <w:rFonts w:asciiTheme="minorHAnsi" w:hAnsiTheme="minorHAnsi" w:cstheme="minorHAnsi"/>
          <w:sz w:val="16"/>
          <w:szCs w:val="16"/>
        </w:rPr>
        <w:t xml:space="preserve">de viabilidade </w:t>
      </w:r>
      <w:r w:rsidR="00500AE2" w:rsidRPr="00A92A3E">
        <w:rPr>
          <w:rFonts w:asciiTheme="minorHAnsi" w:hAnsiTheme="minorHAnsi" w:cstheme="minorHAnsi"/>
          <w:sz w:val="16"/>
          <w:szCs w:val="16"/>
        </w:rPr>
        <w:t xml:space="preserve">para avaliar </w:t>
      </w:r>
      <w:r w:rsidR="00155C71" w:rsidRPr="00A92A3E">
        <w:rPr>
          <w:rFonts w:asciiTheme="minorHAnsi" w:hAnsiTheme="minorHAnsi" w:cstheme="minorHAnsi"/>
          <w:sz w:val="16"/>
          <w:szCs w:val="16"/>
        </w:rPr>
        <w:t>a situação</w:t>
      </w:r>
      <w:r w:rsidR="00500AE2" w:rsidRPr="00A92A3E">
        <w:rPr>
          <w:rFonts w:asciiTheme="minorHAnsi" w:hAnsiTheme="minorHAnsi" w:cstheme="minorHAnsi"/>
          <w:sz w:val="16"/>
          <w:szCs w:val="16"/>
        </w:rPr>
        <w:t xml:space="preserve"> econômic</w:t>
      </w:r>
      <w:r w:rsidR="00155C71" w:rsidRPr="00A92A3E">
        <w:rPr>
          <w:rFonts w:asciiTheme="minorHAnsi" w:hAnsiTheme="minorHAnsi" w:cstheme="minorHAnsi"/>
          <w:sz w:val="16"/>
          <w:szCs w:val="16"/>
        </w:rPr>
        <w:t>a</w:t>
      </w:r>
      <w:r w:rsidR="004D5948" w:rsidRPr="00A92A3E">
        <w:rPr>
          <w:rFonts w:asciiTheme="minorHAnsi" w:hAnsiTheme="minorHAnsi" w:cstheme="minorHAnsi"/>
          <w:sz w:val="16"/>
          <w:szCs w:val="16"/>
        </w:rPr>
        <w:t xml:space="preserve">, </w:t>
      </w:r>
      <w:r w:rsidR="00500AE2" w:rsidRPr="00A92A3E">
        <w:rPr>
          <w:rFonts w:asciiTheme="minorHAnsi" w:hAnsiTheme="minorHAnsi" w:cstheme="minorHAnsi"/>
          <w:sz w:val="16"/>
          <w:szCs w:val="16"/>
        </w:rPr>
        <w:t>financeir</w:t>
      </w:r>
      <w:r w:rsidR="00155C71" w:rsidRPr="00A92A3E">
        <w:rPr>
          <w:rFonts w:asciiTheme="minorHAnsi" w:hAnsiTheme="minorHAnsi" w:cstheme="minorHAnsi"/>
          <w:sz w:val="16"/>
          <w:szCs w:val="16"/>
        </w:rPr>
        <w:t>a</w:t>
      </w:r>
      <w:r w:rsidR="004D5948" w:rsidRPr="00A92A3E">
        <w:rPr>
          <w:rFonts w:asciiTheme="minorHAnsi" w:hAnsiTheme="minorHAnsi" w:cstheme="minorHAnsi"/>
          <w:sz w:val="16"/>
          <w:szCs w:val="16"/>
        </w:rPr>
        <w:t xml:space="preserve"> </w:t>
      </w:r>
      <w:r w:rsidR="00155C71" w:rsidRPr="00A92A3E">
        <w:rPr>
          <w:rFonts w:asciiTheme="minorHAnsi" w:hAnsiTheme="minorHAnsi" w:cstheme="minorHAnsi"/>
          <w:sz w:val="16"/>
          <w:szCs w:val="16"/>
        </w:rPr>
        <w:t xml:space="preserve">e </w:t>
      </w:r>
      <w:r w:rsidR="004D5948" w:rsidRPr="00A92A3E">
        <w:rPr>
          <w:rFonts w:asciiTheme="minorHAnsi" w:hAnsiTheme="minorHAnsi" w:cstheme="minorHAnsi"/>
          <w:sz w:val="16"/>
          <w:szCs w:val="16"/>
        </w:rPr>
        <w:t>orçamentári</w:t>
      </w:r>
      <w:r w:rsidR="00155C71" w:rsidRPr="00A92A3E">
        <w:rPr>
          <w:rFonts w:asciiTheme="minorHAnsi" w:hAnsiTheme="minorHAnsi" w:cstheme="minorHAnsi"/>
          <w:sz w:val="16"/>
          <w:szCs w:val="16"/>
        </w:rPr>
        <w:t>a</w:t>
      </w:r>
      <w:r w:rsidR="004D5948" w:rsidRPr="00A92A3E">
        <w:rPr>
          <w:rFonts w:asciiTheme="minorHAnsi" w:hAnsiTheme="minorHAnsi" w:cstheme="minorHAnsi"/>
          <w:sz w:val="16"/>
          <w:szCs w:val="16"/>
        </w:rPr>
        <w:t xml:space="preserve">, visando </w:t>
      </w:r>
      <w:r w:rsidR="00E86F53" w:rsidRPr="00A92A3E">
        <w:rPr>
          <w:rFonts w:asciiTheme="minorHAnsi" w:hAnsiTheme="minorHAnsi" w:cstheme="minorHAnsi"/>
          <w:sz w:val="16"/>
          <w:szCs w:val="16"/>
        </w:rPr>
        <w:t>propor possíveis</w:t>
      </w:r>
      <w:r w:rsidR="00017C4F" w:rsidRPr="00A92A3E">
        <w:rPr>
          <w:rFonts w:asciiTheme="minorHAnsi" w:hAnsiTheme="minorHAnsi" w:cstheme="minorHAnsi"/>
          <w:sz w:val="16"/>
          <w:szCs w:val="16"/>
        </w:rPr>
        <w:t xml:space="preserve"> medidas de equacionamento no curto, médio e longo prazo</w:t>
      </w:r>
      <w:r w:rsidR="00500AE2" w:rsidRPr="00A92A3E">
        <w:rPr>
          <w:rFonts w:asciiTheme="minorHAnsi" w:hAnsiTheme="minorHAnsi" w:cstheme="minorHAnsi"/>
          <w:sz w:val="16"/>
          <w:szCs w:val="16"/>
        </w:rPr>
        <w:t>.</w:t>
      </w:r>
    </w:p>
    <w:p w14:paraId="4A5F974A" w14:textId="79F666ED"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Ademais</w:t>
      </w:r>
      <w:r w:rsidR="00017C4F" w:rsidRPr="00A92A3E">
        <w:rPr>
          <w:rFonts w:asciiTheme="minorHAnsi" w:hAnsiTheme="minorHAnsi" w:cstheme="minorHAnsi"/>
          <w:sz w:val="16"/>
          <w:szCs w:val="16"/>
        </w:rPr>
        <w:t>,</w:t>
      </w:r>
      <w:r w:rsidRPr="00A92A3E">
        <w:rPr>
          <w:rFonts w:asciiTheme="minorHAnsi" w:hAnsiTheme="minorHAnsi" w:cstheme="minorHAnsi"/>
          <w:sz w:val="16"/>
          <w:szCs w:val="16"/>
        </w:rPr>
        <w:t xml:space="preserve"> 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terá um acompanhamento das informações referente aos seus demonstrativos, devendo ser</w:t>
      </w:r>
      <w:r w:rsidR="00E86F53"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encaminhada aos órgãos de controle interno e externo com o objetivo de subsidiar a análise de capacidade </w:t>
      </w:r>
      <w:r w:rsidR="00017C4F" w:rsidRPr="00A92A3E">
        <w:rPr>
          <w:rFonts w:asciiTheme="minorHAnsi" w:hAnsiTheme="minorHAnsi" w:cstheme="minorHAnsi"/>
          <w:sz w:val="16"/>
          <w:szCs w:val="16"/>
        </w:rPr>
        <w:t xml:space="preserve">econômica, financeira e </w:t>
      </w:r>
      <w:r w:rsidRPr="00A92A3E">
        <w:rPr>
          <w:rFonts w:asciiTheme="minorHAnsi" w:hAnsiTheme="minorHAnsi" w:cstheme="minorHAnsi"/>
          <w:sz w:val="16"/>
          <w:szCs w:val="16"/>
        </w:rPr>
        <w:t>orçamentária</w:t>
      </w:r>
      <w:r w:rsidR="00017C4F" w:rsidRPr="00A92A3E">
        <w:rPr>
          <w:rFonts w:asciiTheme="minorHAnsi" w:hAnsiTheme="minorHAnsi" w:cstheme="minorHAnsi"/>
          <w:sz w:val="16"/>
          <w:szCs w:val="16"/>
        </w:rPr>
        <w:t xml:space="preserve">, </w:t>
      </w:r>
      <w:r w:rsidRPr="00A92A3E">
        <w:rPr>
          <w:rFonts w:asciiTheme="minorHAnsi" w:hAnsiTheme="minorHAnsi" w:cstheme="minorHAnsi"/>
          <w:sz w:val="16"/>
          <w:szCs w:val="16"/>
        </w:rPr>
        <w:t>visando honrar com as obrigações presentes e futuras.</w:t>
      </w:r>
    </w:p>
    <w:p w14:paraId="503BDE74" w14:textId="40E6A993" w:rsidR="00E55B25" w:rsidRPr="00A92A3E" w:rsidRDefault="00E55B25">
      <w:pPr>
        <w:spacing w:before="0" w:after="160" w:line="259" w:lineRule="auto"/>
        <w:jc w:val="left"/>
        <w:rPr>
          <w:rFonts w:asciiTheme="minorHAnsi" w:hAnsiTheme="minorHAnsi" w:cstheme="minorHAnsi"/>
          <w:sz w:val="16"/>
          <w:szCs w:val="16"/>
        </w:rPr>
      </w:pPr>
      <w:r w:rsidRPr="00A92A3E">
        <w:rPr>
          <w:rFonts w:asciiTheme="minorHAnsi" w:hAnsiTheme="minorHAnsi" w:cstheme="minorHAnsi"/>
          <w:sz w:val="16"/>
          <w:szCs w:val="16"/>
        </w:rPr>
        <w:br w:type="page"/>
      </w:r>
    </w:p>
    <w:p w14:paraId="23D1E98D" w14:textId="77777777" w:rsidR="00500AE2" w:rsidRPr="00A92A3E" w:rsidRDefault="00500AE2" w:rsidP="00377B54">
      <w:pPr>
        <w:pStyle w:val="Ttulo1"/>
        <w:rPr>
          <w:rFonts w:asciiTheme="minorHAnsi" w:hAnsiTheme="minorHAnsi" w:cstheme="minorHAnsi"/>
          <w:sz w:val="16"/>
          <w:szCs w:val="16"/>
        </w:rPr>
      </w:pPr>
      <w:bookmarkStart w:id="106" w:name="_Toc435189696"/>
      <w:bookmarkStart w:id="107" w:name="_Toc435202754"/>
      <w:bookmarkStart w:id="108" w:name="_Toc490036560"/>
      <w:bookmarkStart w:id="109" w:name="_Toc118105154"/>
      <w:bookmarkStart w:id="110" w:name="_Toc150330298"/>
      <w:r w:rsidRPr="00A92A3E">
        <w:rPr>
          <w:rFonts w:asciiTheme="minorHAnsi" w:hAnsiTheme="minorHAnsi" w:cstheme="minorHAnsi"/>
          <w:sz w:val="16"/>
          <w:szCs w:val="16"/>
        </w:rPr>
        <w:lastRenderedPageBreak/>
        <w:t>P</w:t>
      </w:r>
      <w:bookmarkEnd w:id="106"/>
      <w:r w:rsidRPr="00A92A3E">
        <w:rPr>
          <w:rFonts w:asciiTheme="minorHAnsi" w:hAnsiTheme="minorHAnsi" w:cstheme="minorHAnsi"/>
          <w:sz w:val="16"/>
          <w:szCs w:val="16"/>
        </w:rPr>
        <w:t>OLÍTICA DE TRANSPARÊNCIA</w:t>
      </w:r>
      <w:bookmarkEnd w:id="107"/>
      <w:bookmarkEnd w:id="108"/>
      <w:bookmarkEnd w:id="109"/>
      <w:bookmarkEnd w:id="110"/>
    </w:p>
    <w:p w14:paraId="46F97ECB" w14:textId="7586226C"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Conforme a Portaria </w:t>
      </w:r>
      <w:r w:rsidR="00A57DA3" w:rsidRPr="00A92A3E">
        <w:rPr>
          <w:rFonts w:asciiTheme="minorHAnsi" w:hAnsiTheme="minorHAnsi" w:cstheme="minorHAnsi"/>
          <w:sz w:val="16"/>
          <w:szCs w:val="16"/>
        </w:rPr>
        <w:t xml:space="preserve">MTP </w:t>
      </w:r>
      <w:r w:rsidRPr="00A92A3E">
        <w:rPr>
          <w:rFonts w:asciiTheme="minorHAnsi" w:hAnsiTheme="minorHAnsi" w:cstheme="minorHAnsi"/>
          <w:sz w:val="16"/>
          <w:szCs w:val="16"/>
        </w:rPr>
        <w:t>nº 1.467/2022, as informações contidas nessa Política de Investimentos e em suas possíveis revisões deverão ser disponibilizadas aos interessados, no prazo de 30 (trinta) dias contados de sua aprovação.</w:t>
      </w:r>
    </w:p>
    <w:p w14:paraId="6C8210E7" w14:textId="74199905"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À vista da exigência contida no art. 4º, incisos I, II, III, IV e V, </w:t>
      </w:r>
      <w:r w:rsidR="00A57DA3" w:rsidRPr="00A92A3E">
        <w:rPr>
          <w:rFonts w:asciiTheme="minorHAnsi" w:hAnsiTheme="minorHAnsi" w:cstheme="minorHAnsi"/>
          <w:sz w:val="16"/>
          <w:szCs w:val="16"/>
        </w:rPr>
        <w:t>§ 1º</w:t>
      </w:r>
      <w:r w:rsidRPr="00A92A3E">
        <w:rPr>
          <w:rFonts w:asciiTheme="minorHAnsi" w:hAnsiTheme="minorHAnsi" w:cstheme="minorHAnsi"/>
          <w:sz w:val="16"/>
          <w:szCs w:val="16"/>
        </w:rPr>
        <w:t xml:space="preserve"> e </w:t>
      </w:r>
      <w:r w:rsidR="00A57DA3" w:rsidRPr="00A92A3E">
        <w:rPr>
          <w:rFonts w:asciiTheme="minorHAnsi" w:hAnsiTheme="minorHAnsi" w:cstheme="minorHAnsi"/>
          <w:sz w:val="16"/>
          <w:szCs w:val="16"/>
        </w:rPr>
        <w:t xml:space="preserve">2º </w:t>
      </w:r>
      <w:r w:rsidRPr="00A92A3E">
        <w:rPr>
          <w:rFonts w:asciiTheme="minorHAnsi" w:hAnsiTheme="minorHAnsi" w:cstheme="minorHAnsi"/>
          <w:sz w:val="16"/>
          <w:szCs w:val="16"/>
        </w:rPr>
        <w:t xml:space="preserve">e ainda, art. 5º da Resolução CMN nº 4.963/2021, a Política de Investimentos deverá ser disponibilizada no site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Diário Oficial do Município ou em local de fácil acesso e visualização, sem prejuízo de outros canais oficiais de comunicação.</w:t>
      </w:r>
    </w:p>
    <w:p w14:paraId="32EEC1F6" w14:textId="37A37F1D" w:rsidR="00377B54" w:rsidRPr="00A92A3E" w:rsidRDefault="00500AE2" w:rsidP="0072415A">
      <w:pPr>
        <w:rPr>
          <w:rFonts w:asciiTheme="minorHAnsi" w:hAnsiTheme="minorHAnsi" w:cstheme="minorHAnsi"/>
          <w:sz w:val="16"/>
          <w:szCs w:val="16"/>
        </w:rPr>
      </w:pPr>
      <w:r w:rsidRPr="00A92A3E">
        <w:rPr>
          <w:rFonts w:asciiTheme="minorHAnsi" w:hAnsiTheme="minorHAnsi" w:cstheme="minorHAnsi"/>
          <w:sz w:val="16"/>
          <w:szCs w:val="16"/>
        </w:rPr>
        <w:t>Todos e demais documentos correspondentes a análise, avaliação, gerenciamento, assessoramento e decisão, deverão ser disponibilizados via Portal de Transparência de própria autoria ou na melhor qualidade de disponibilização aos interessados.</w:t>
      </w:r>
    </w:p>
    <w:p w14:paraId="0C93C3CD" w14:textId="77777777" w:rsidR="00500AE2" w:rsidRPr="00A92A3E" w:rsidRDefault="00500AE2" w:rsidP="00377B54">
      <w:pPr>
        <w:pStyle w:val="Ttulo1"/>
        <w:rPr>
          <w:rFonts w:asciiTheme="minorHAnsi" w:hAnsiTheme="minorHAnsi" w:cstheme="minorHAnsi"/>
          <w:sz w:val="16"/>
          <w:szCs w:val="16"/>
        </w:rPr>
      </w:pPr>
      <w:bookmarkStart w:id="111" w:name="_Toc435189697"/>
      <w:bookmarkStart w:id="112" w:name="_Toc435202755"/>
      <w:bookmarkStart w:id="113" w:name="_Toc490036561"/>
      <w:bookmarkStart w:id="114" w:name="_Toc118105155"/>
      <w:bookmarkStart w:id="115" w:name="_Toc150330299"/>
      <w:r w:rsidRPr="00A92A3E">
        <w:rPr>
          <w:rFonts w:asciiTheme="minorHAnsi" w:hAnsiTheme="minorHAnsi" w:cstheme="minorHAnsi"/>
          <w:sz w:val="16"/>
          <w:szCs w:val="16"/>
        </w:rPr>
        <w:t>CREDENCIAMENTO</w:t>
      </w:r>
      <w:bookmarkEnd w:id="111"/>
      <w:bookmarkEnd w:id="112"/>
      <w:bookmarkEnd w:id="113"/>
      <w:bookmarkEnd w:id="114"/>
      <w:bookmarkEnd w:id="115"/>
    </w:p>
    <w:p w14:paraId="1BCB4340" w14:textId="2C3ECDB9"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Seguindo a Portaria </w:t>
      </w:r>
      <w:r w:rsidR="0001490F" w:rsidRPr="00A92A3E">
        <w:rPr>
          <w:rFonts w:asciiTheme="minorHAnsi" w:hAnsiTheme="minorHAnsi" w:cstheme="minorHAnsi"/>
          <w:bCs/>
          <w:sz w:val="16"/>
          <w:szCs w:val="16"/>
        </w:rPr>
        <w:t xml:space="preserve">MTP </w:t>
      </w:r>
      <w:r w:rsidRPr="00A92A3E">
        <w:rPr>
          <w:rFonts w:asciiTheme="minorHAnsi" w:hAnsiTheme="minorHAnsi" w:cstheme="minorHAnsi"/>
          <w:bCs/>
          <w:sz w:val="16"/>
          <w:szCs w:val="16"/>
        </w:rPr>
        <w:t xml:space="preserve">nº 1.467/2022 que determina que antes da realização de qualquer novo aporte, 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na figura de seu Comitê de Investimentos, deverá assegurar que as Instituições Financeiras escolhidas para receber as aplicações dos recursos</w:t>
      </w:r>
      <w:r w:rsidRPr="00A92A3E" w:rsidDel="00D11EC2">
        <w:rPr>
          <w:rFonts w:asciiTheme="minorHAnsi" w:hAnsiTheme="minorHAnsi" w:cstheme="minorHAnsi"/>
          <w:bCs/>
          <w:sz w:val="16"/>
          <w:szCs w:val="16"/>
        </w:rPr>
        <w:t xml:space="preserve"> </w:t>
      </w:r>
      <w:r w:rsidRPr="00A92A3E">
        <w:rPr>
          <w:rFonts w:asciiTheme="minorHAnsi" w:hAnsiTheme="minorHAnsi" w:cstheme="minorHAnsi"/>
          <w:bCs/>
          <w:sz w:val="16"/>
          <w:szCs w:val="16"/>
        </w:rPr>
        <w:t>tenham sido objeto de prévio credenciamento.</w:t>
      </w:r>
    </w:p>
    <w:p w14:paraId="5FDFB56E" w14:textId="77777777"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Complementarmente, a própria Resolução CMN nº 4.963/2021 em seu Art. 1º, §1º, inciso VI e §3º, determina que as Instituições Financeiras escolhidas para receber as aplicações dos recursos deverão passar pelo prévio credenciamento. Adiciona ainda o acompanhamento e a avaliação do gestor e do administrador dos fundos de investimento.</w:t>
      </w:r>
    </w:p>
    <w:p w14:paraId="24402C3B" w14:textId="0AB66C03"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bCs/>
          <w:sz w:val="16"/>
          <w:szCs w:val="16"/>
        </w:rPr>
        <w:t xml:space="preserve">Considerando todas as exigências, 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xml:space="preserve">, </w:t>
      </w:r>
      <w:r w:rsidRPr="00A92A3E">
        <w:rPr>
          <w:rFonts w:asciiTheme="minorHAnsi" w:hAnsiTheme="minorHAnsi" w:cstheme="minorHAnsi"/>
          <w:sz w:val="16"/>
          <w:szCs w:val="16"/>
        </w:rPr>
        <w:t xml:space="preserve">através de seu Edital de Credenciamento, deverá atestar o cumprimento integral de todos os </w:t>
      </w:r>
      <w:r w:rsidRPr="00A92A3E">
        <w:rPr>
          <w:rFonts w:asciiTheme="minorHAnsi" w:hAnsiTheme="minorHAnsi" w:cstheme="minorHAnsi"/>
          <w:b/>
          <w:bCs/>
          <w:sz w:val="16"/>
          <w:szCs w:val="16"/>
        </w:rPr>
        <w:t>requisitos mínimos</w:t>
      </w:r>
      <w:r w:rsidRPr="00A92A3E">
        <w:rPr>
          <w:rFonts w:asciiTheme="minorHAnsi" w:hAnsiTheme="minorHAnsi" w:cstheme="minorHAnsi"/>
          <w:sz w:val="16"/>
          <w:szCs w:val="16"/>
        </w:rPr>
        <w:t xml:space="preserve"> de credenciamento, inclusive:</w:t>
      </w:r>
    </w:p>
    <w:p w14:paraId="4CEDA328" w14:textId="77777777" w:rsidR="00500AE2" w:rsidRPr="00A92A3E" w:rsidRDefault="00500AE2" w:rsidP="00F5523C">
      <w:pPr>
        <w:pStyle w:val="PargrafodaLista"/>
        <w:numPr>
          <w:ilvl w:val="0"/>
          <w:numId w:val="6"/>
        </w:numPr>
        <w:rPr>
          <w:rFonts w:asciiTheme="minorHAnsi" w:hAnsiTheme="minorHAnsi" w:cstheme="minorHAnsi"/>
          <w:bCs/>
          <w:sz w:val="16"/>
          <w:szCs w:val="16"/>
        </w:rPr>
      </w:pPr>
      <w:r w:rsidRPr="00A92A3E">
        <w:rPr>
          <w:rFonts w:asciiTheme="minorHAnsi" w:hAnsiTheme="minorHAnsi" w:cstheme="minorHAnsi"/>
          <w:bCs/>
          <w:sz w:val="16"/>
          <w:szCs w:val="16"/>
        </w:rPr>
        <w:t>atos de registro ou autorização na forma do §1º e inexistência de suspensão ou inabilitação pelo Banco Central do Brasil ou Comissão de Valores Mobiliários ou órgão competente;</w:t>
      </w:r>
    </w:p>
    <w:p w14:paraId="5399198F" w14:textId="77777777" w:rsidR="00500AE2" w:rsidRPr="00A92A3E" w:rsidRDefault="00500AE2" w:rsidP="00500AE2">
      <w:pPr>
        <w:pStyle w:val="PargrafodaLista"/>
        <w:rPr>
          <w:rFonts w:asciiTheme="minorHAnsi" w:hAnsiTheme="minorHAnsi" w:cstheme="minorHAnsi"/>
          <w:bCs/>
          <w:sz w:val="16"/>
          <w:szCs w:val="16"/>
        </w:rPr>
      </w:pPr>
    </w:p>
    <w:p w14:paraId="33766F99" w14:textId="77777777" w:rsidR="00500AE2" w:rsidRPr="00A92A3E" w:rsidRDefault="00500AE2" w:rsidP="00F5523C">
      <w:pPr>
        <w:pStyle w:val="PargrafodaLista"/>
        <w:numPr>
          <w:ilvl w:val="0"/>
          <w:numId w:val="6"/>
        </w:numPr>
        <w:rPr>
          <w:rFonts w:asciiTheme="minorHAnsi" w:hAnsiTheme="minorHAnsi" w:cstheme="minorHAnsi"/>
          <w:bCs/>
          <w:sz w:val="16"/>
          <w:szCs w:val="16"/>
        </w:rPr>
      </w:pPr>
      <w:r w:rsidRPr="00A92A3E">
        <w:rPr>
          <w:rFonts w:asciiTheme="minorHAnsi" w:hAnsiTheme="minorHAnsi" w:cstheme="minorHAnsi"/>
          <w:bCs/>
          <w:sz w:val="16"/>
          <w:szCs w:val="16"/>
        </w:rPr>
        <w:t xml:space="preserve">observância de elevado padrão ético de conduta nas operações realizadas no mercado financeiro e ausência de restrições que, a critério do Banco Central do Brasil, da Comissão de Valores Mobiliários ou de outros órgãos competentes desaconselhem um relacionamento seguro </w:t>
      </w:r>
    </w:p>
    <w:p w14:paraId="61A40298" w14:textId="77777777" w:rsidR="00500AE2" w:rsidRPr="00A92A3E" w:rsidRDefault="00500AE2" w:rsidP="00500AE2">
      <w:pPr>
        <w:pStyle w:val="PargrafodaLista"/>
        <w:rPr>
          <w:rFonts w:asciiTheme="minorHAnsi" w:hAnsiTheme="minorHAnsi" w:cstheme="minorHAnsi"/>
          <w:bCs/>
          <w:sz w:val="16"/>
          <w:szCs w:val="16"/>
        </w:rPr>
      </w:pPr>
    </w:p>
    <w:p w14:paraId="6C045C08" w14:textId="77777777" w:rsidR="00500AE2" w:rsidRPr="00A92A3E" w:rsidRDefault="00500AE2" w:rsidP="00F5523C">
      <w:pPr>
        <w:pStyle w:val="PargrafodaLista"/>
        <w:numPr>
          <w:ilvl w:val="0"/>
          <w:numId w:val="6"/>
        </w:numPr>
        <w:rPr>
          <w:rFonts w:asciiTheme="minorHAnsi" w:hAnsiTheme="minorHAnsi" w:cstheme="minorHAnsi"/>
          <w:bCs/>
          <w:sz w:val="16"/>
          <w:szCs w:val="16"/>
        </w:rPr>
      </w:pPr>
      <w:r w:rsidRPr="00A92A3E">
        <w:rPr>
          <w:rFonts w:asciiTheme="minorHAnsi" w:hAnsiTheme="minorHAnsi" w:cstheme="minorHAnsi"/>
          <w:bCs/>
          <w:sz w:val="16"/>
          <w:szCs w:val="16"/>
        </w:rPr>
        <w:t xml:space="preserve">análise do histórico de sua atuação e de seus principais controladores </w:t>
      </w:r>
    </w:p>
    <w:p w14:paraId="7E4B7E70" w14:textId="77777777" w:rsidR="00500AE2" w:rsidRPr="00A92A3E" w:rsidRDefault="00500AE2" w:rsidP="00500AE2">
      <w:pPr>
        <w:pStyle w:val="PargrafodaLista"/>
        <w:rPr>
          <w:rFonts w:asciiTheme="minorHAnsi" w:hAnsiTheme="minorHAnsi" w:cstheme="minorHAnsi"/>
          <w:bCs/>
          <w:sz w:val="16"/>
          <w:szCs w:val="16"/>
        </w:rPr>
      </w:pPr>
    </w:p>
    <w:p w14:paraId="313E7F4E" w14:textId="77777777" w:rsidR="00500AE2" w:rsidRPr="00A92A3E" w:rsidRDefault="00500AE2" w:rsidP="00F5523C">
      <w:pPr>
        <w:pStyle w:val="PargrafodaLista"/>
        <w:numPr>
          <w:ilvl w:val="0"/>
          <w:numId w:val="6"/>
        </w:numPr>
        <w:rPr>
          <w:rFonts w:asciiTheme="minorHAnsi" w:hAnsiTheme="minorHAnsi" w:cstheme="minorHAnsi"/>
          <w:bCs/>
          <w:sz w:val="16"/>
          <w:szCs w:val="16"/>
        </w:rPr>
      </w:pPr>
      <w:r w:rsidRPr="00A92A3E">
        <w:rPr>
          <w:rFonts w:asciiTheme="minorHAnsi" w:hAnsiTheme="minorHAnsi" w:cstheme="minorHAnsi"/>
          <w:bCs/>
          <w:sz w:val="16"/>
          <w:szCs w:val="16"/>
        </w:rPr>
        <w:t>experiência mínima de 5 anos dos profissionais diretamente relacionados à gestão de ativos de terceiros; e</w:t>
      </w:r>
    </w:p>
    <w:p w14:paraId="45A6AD7A" w14:textId="77777777" w:rsidR="00500AE2" w:rsidRPr="00A92A3E" w:rsidRDefault="00500AE2" w:rsidP="00500AE2">
      <w:pPr>
        <w:pStyle w:val="PargrafodaLista"/>
        <w:rPr>
          <w:rFonts w:asciiTheme="minorHAnsi" w:hAnsiTheme="minorHAnsi" w:cstheme="minorHAnsi"/>
          <w:bCs/>
          <w:sz w:val="16"/>
          <w:szCs w:val="16"/>
        </w:rPr>
      </w:pPr>
    </w:p>
    <w:p w14:paraId="2659E881" w14:textId="77777777" w:rsidR="00500AE2" w:rsidRPr="00A92A3E" w:rsidRDefault="00500AE2" w:rsidP="00F5523C">
      <w:pPr>
        <w:pStyle w:val="PargrafodaLista"/>
        <w:numPr>
          <w:ilvl w:val="0"/>
          <w:numId w:val="6"/>
        </w:numPr>
        <w:rPr>
          <w:rFonts w:asciiTheme="minorHAnsi" w:hAnsiTheme="minorHAnsi" w:cstheme="minorHAnsi"/>
          <w:bCs/>
          <w:sz w:val="16"/>
          <w:szCs w:val="16"/>
        </w:rPr>
      </w:pPr>
      <w:r w:rsidRPr="00A92A3E">
        <w:rPr>
          <w:rFonts w:asciiTheme="minorHAnsi" w:hAnsiTheme="minorHAnsi" w:cstheme="minorHAnsi"/>
          <w:bCs/>
          <w:sz w:val="16"/>
          <w:szCs w:val="16"/>
        </w:rPr>
        <w:t>análise quanto ao volume de recursos sob sua gestão e administração, bem como quanto a qualificação do corpo técnico e segregação de atividades.</w:t>
      </w:r>
    </w:p>
    <w:p w14:paraId="623965C4" w14:textId="77777777" w:rsidR="00500AE2" w:rsidRPr="00A92A3E" w:rsidRDefault="00500AE2" w:rsidP="00500AE2">
      <w:pPr>
        <w:pStyle w:val="PargrafodaLista"/>
        <w:rPr>
          <w:rFonts w:asciiTheme="minorHAnsi" w:hAnsiTheme="minorHAnsi" w:cstheme="minorHAnsi"/>
          <w:bCs/>
          <w:sz w:val="16"/>
          <w:szCs w:val="16"/>
        </w:rPr>
      </w:pPr>
    </w:p>
    <w:p w14:paraId="4F02064A" w14:textId="53AF3E19"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Deverá ser realizado o credenciamento</w:t>
      </w:r>
      <w:r w:rsidR="00DE10E6" w:rsidRPr="00A92A3E">
        <w:rPr>
          <w:rFonts w:asciiTheme="minorHAnsi" w:hAnsiTheme="minorHAnsi" w:cstheme="minorHAnsi"/>
          <w:bCs/>
          <w:sz w:val="16"/>
          <w:szCs w:val="16"/>
        </w:rPr>
        <w:t>, inclusive,</w:t>
      </w:r>
      <w:r w:rsidRPr="00A92A3E">
        <w:rPr>
          <w:rFonts w:asciiTheme="minorHAnsi" w:hAnsiTheme="minorHAnsi" w:cstheme="minorHAnsi"/>
          <w:bCs/>
          <w:sz w:val="16"/>
          <w:szCs w:val="16"/>
        </w:rPr>
        <w:t xml:space="preserve"> das corretoras </w:t>
      </w:r>
      <w:r w:rsidR="00DE10E6" w:rsidRPr="00A92A3E">
        <w:rPr>
          <w:rFonts w:asciiTheme="minorHAnsi" w:hAnsiTheme="minorHAnsi" w:cstheme="minorHAnsi"/>
          <w:bCs/>
          <w:sz w:val="16"/>
          <w:szCs w:val="16"/>
        </w:rPr>
        <w:t>e</w:t>
      </w:r>
      <w:r w:rsidRPr="00A92A3E">
        <w:rPr>
          <w:rFonts w:asciiTheme="minorHAnsi" w:hAnsiTheme="minorHAnsi" w:cstheme="minorHAnsi"/>
          <w:bCs/>
          <w:sz w:val="16"/>
          <w:szCs w:val="16"/>
        </w:rPr>
        <w:t xml:space="preserve"> distribuidoras de títulos e valores mobiliários </w:t>
      </w:r>
      <w:r w:rsidR="00DE10E6" w:rsidRPr="00A92A3E">
        <w:rPr>
          <w:rFonts w:asciiTheme="minorHAnsi" w:hAnsiTheme="minorHAnsi" w:cstheme="minorHAnsi"/>
          <w:bCs/>
          <w:sz w:val="16"/>
          <w:szCs w:val="16"/>
        </w:rPr>
        <w:t>(“CCTVM o/ou D</w:t>
      </w:r>
      <w:r w:rsidR="00CB29AC" w:rsidRPr="00A92A3E">
        <w:rPr>
          <w:rFonts w:asciiTheme="minorHAnsi" w:hAnsiTheme="minorHAnsi" w:cstheme="minorHAnsi"/>
          <w:bCs/>
          <w:sz w:val="16"/>
          <w:szCs w:val="16"/>
        </w:rPr>
        <w:t xml:space="preserve">TVM”) </w:t>
      </w:r>
      <w:r w:rsidRPr="00A92A3E">
        <w:rPr>
          <w:rFonts w:asciiTheme="minorHAnsi" w:hAnsiTheme="minorHAnsi" w:cstheme="minorHAnsi"/>
          <w:bCs/>
          <w:sz w:val="16"/>
          <w:szCs w:val="16"/>
        </w:rPr>
        <w:t>que tenham relação com operações diretas com título de emissão do Tesouro Nacional que forem registradas no Sistema Especial de Liquidação e Custódia – SELIC</w:t>
      </w:r>
      <w:r w:rsidR="00CB29AC" w:rsidRPr="00A92A3E">
        <w:rPr>
          <w:rFonts w:asciiTheme="minorHAnsi" w:hAnsiTheme="minorHAnsi" w:cstheme="minorHAnsi"/>
          <w:bCs/>
          <w:sz w:val="16"/>
          <w:szCs w:val="16"/>
        </w:rPr>
        <w:t xml:space="preserve"> e</w:t>
      </w:r>
      <w:r w:rsidR="005F1DE6" w:rsidRPr="00A92A3E">
        <w:rPr>
          <w:rFonts w:asciiTheme="minorHAnsi" w:hAnsiTheme="minorHAnsi" w:cstheme="minorHAnsi"/>
          <w:bCs/>
          <w:sz w:val="16"/>
          <w:szCs w:val="16"/>
        </w:rPr>
        <w:t xml:space="preserve"> Títulos Privados de emissão de Instituições Financeiras</w:t>
      </w:r>
      <w:r w:rsidR="00A0157F" w:rsidRPr="00A92A3E">
        <w:rPr>
          <w:rFonts w:asciiTheme="minorHAnsi" w:hAnsiTheme="minorHAnsi" w:cstheme="minorHAnsi"/>
          <w:bCs/>
          <w:sz w:val="16"/>
          <w:szCs w:val="16"/>
        </w:rPr>
        <w:t>.</w:t>
      </w:r>
    </w:p>
    <w:p w14:paraId="1BB828EA" w14:textId="38B3B679"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A conclusão da análise das informações e da verificação dos requisitos estabelecidos para o credenciamento, deverá ser registrada em Termo de Credenciamento</w:t>
      </w:r>
      <w:r w:rsidR="00AC2C89" w:rsidRPr="00A92A3E">
        <w:rPr>
          <w:rFonts w:asciiTheme="minorHAnsi" w:hAnsiTheme="minorHAnsi" w:cstheme="minorHAnsi"/>
          <w:bCs/>
          <w:sz w:val="16"/>
          <w:szCs w:val="16"/>
        </w:rPr>
        <w:t>.</w:t>
      </w:r>
      <w:r w:rsidRPr="00A92A3E">
        <w:rPr>
          <w:rFonts w:asciiTheme="minorHAnsi" w:hAnsiTheme="minorHAnsi" w:cstheme="minorHAnsi"/>
          <w:bCs/>
          <w:sz w:val="16"/>
          <w:szCs w:val="16"/>
        </w:rPr>
        <w:t xml:space="preserve"> </w:t>
      </w:r>
      <w:r w:rsidR="00AC2C89" w:rsidRPr="00A92A3E">
        <w:rPr>
          <w:rFonts w:asciiTheme="minorHAnsi" w:hAnsiTheme="minorHAnsi" w:cstheme="minorHAnsi"/>
          <w:bCs/>
          <w:sz w:val="16"/>
          <w:szCs w:val="16"/>
        </w:rPr>
        <w:t xml:space="preserve">O Termo </w:t>
      </w:r>
      <w:r w:rsidRPr="00A92A3E">
        <w:rPr>
          <w:rFonts w:asciiTheme="minorHAnsi" w:hAnsiTheme="minorHAnsi" w:cstheme="minorHAnsi"/>
          <w:bCs/>
          <w:sz w:val="16"/>
          <w:szCs w:val="16"/>
        </w:rPr>
        <w:t>deverá observar os seguintes requisitos:</w:t>
      </w:r>
    </w:p>
    <w:p w14:paraId="03065F4B" w14:textId="77777777" w:rsidR="00500AE2" w:rsidRPr="00A92A3E" w:rsidRDefault="00500AE2" w:rsidP="00F5523C">
      <w:pPr>
        <w:pStyle w:val="PargrafodaLista"/>
        <w:numPr>
          <w:ilvl w:val="0"/>
          <w:numId w:val="10"/>
        </w:numPr>
        <w:rPr>
          <w:rFonts w:asciiTheme="minorHAnsi" w:hAnsiTheme="minorHAnsi" w:cstheme="minorHAnsi"/>
          <w:bCs/>
          <w:sz w:val="16"/>
          <w:szCs w:val="16"/>
        </w:rPr>
      </w:pPr>
      <w:r w:rsidRPr="00A92A3E">
        <w:rPr>
          <w:rFonts w:asciiTheme="minorHAnsi" w:hAnsiTheme="minorHAnsi" w:cstheme="minorHAnsi"/>
          <w:bCs/>
          <w:sz w:val="16"/>
          <w:szCs w:val="16"/>
        </w:rPr>
        <w:t>Estar embasado nos formulários de diligência previstos em códigos de autorregulação relativos à administração de recursos de terceiros, disponibilizados por entidade representativa dos participantes do mercado financeiro e de capitais que possua convênio com a CVM para aproveitamento de autorregulação na indústria de fundos de investimento;</w:t>
      </w:r>
    </w:p>
    <w:p w14:paraId="410CC03E" w14:textId="77777777" w:rsidR="00377B54" w:rsidRPr="00A92A3E" w:rsidRDefault="00377B54" w:rsidP="00377B54">
      <w:pPr>
        <w:pStyle w:val="PargrafodaLista"/>
        <w:rPr>
          <w:rFonts w:asciiTheme="minorHAnsi" w:hAnsiTheme="minorHAnsi" w:cstheme="minorHAnsi"/>
          <w:bCs/>
          <w:sz w:val="16"/>
          <w:szCs w:val="16"/>
        </w:rPr>
      </w:pPr>
    </w:p>
    <w:p w14:paraId="0D7F5F9A" w14:textId="77777777" w:rsidR="00377B54" w:rsidRPr="00A92A3E" w:rsidRDefault="00500AE2" w:rsidP="00F5523C">
      <w:pPr>
        <w:pStyle w:val="PargrafodaLista"/>
        <w:numPr>
          <w:ilvl w:val="0"/>
          <w:numId w:val="10"/>
        </w:numPr>
        <w:rPr>
          <w:rFonts w:asciiTheme="minorHAnsi" w:hAnsiTheme="minorHAnsi" w:cstheme="minorHAnsi"/>
          <w:bCs/>
          <w:sz w:val="16"/>
          <w:szCs w:val="16"/>
        </w:rPr>
      </w:pPr>
      <w:r w:rsidRPr="00A92A3E">
        <w:rPr>
          <w:rFonts w:asciiTheme="minorHAnsi" w:hAnsiTheme="minorHAnsi" w:cstheme="minorHAnsi"/>
          <w:bCs/>
          <w:sz w:val="16"/>
          <w:szCs w:val="16"/>
        </w:rPr>
        <w:t>Ser atualizado a cada 24 (vinte e quatro) meses.</w:t>
      </w:r>
    </w:p>
    <w:p w14:paraId="6A834BEB" w14:textId="77777777" w:rsidR="00377B54" w:rsidRPr="00A92A3E" w:rsidRDefault="00377B54" w:rsidP="00377B54">
      <w:pPr>
        <w:pStyle w:val="PargrafodaLista"/>
        <w:rPr>
          <w:rFonts w:asciiTheme="minorHAnsi" w:hAnsiTheme="minorHAnsi" w:cstheme="minorHAnsi"/>
          <w:bCs/>
          <w:sz w:val="16"/>
          <w:szCs w:val="16"/>
        </w:rPr>
      </w:pPr>
    </w:p>
    <w:p w14:paraId="049D9E43" w14:textId="77777777" w:rsidR="00377B54" w:rsidRPr="00A92A3E" w:rsidRDefault="00500AE2" w:rsidP="00F5523C">
      <w:pPr>
        <w:pStyle w:val="PargrafodaLista"/>
        <w:numPr>
          <w:ilvl w:val="0"/>
          <w:numId w:val="10"/>
        </w:numPr>
        <w:rPr>
          <w:rFonts w:asciiTheme="minorHAnsi" w:hAnsiTheme="minorHAnsi" w:cstheme="minorHAnsi"/>
          <w:bCs/>
          <w:sz w:val="16"/>
          <w:szCs w:val="16"/>
        </w:rPr>
      </w:pPr>
      <w:r w:rsidRPr="00A92A3E">
        <w:rPr>
          <w:rFonts w:asciiTheme="minorHAnsi" w:hAnsiTheme="minorHAnsi" w:cstheme="minorHAnsi"/>
          <w:bCs/>
          <w:sz w:val="16"/>
          <w:szCs w:val="16"/>
        </w:rPr>
        <w:t>Contemplar, em caso de fundos de investimentos, o administrador, o gestor e o distribuidor do fundo; e</w:t>
      </w:r>
    </w:p>
    <w:p w14:paraId="2DCD1D39" w14:textId="77777777" w:rsidR="00377B54" w:rsidRPr="00A92A3E" w:rsidRDefault="00377B54" w:rsidP="00377B54">
      <w:pPr>
        <w:pStyle w:val="PargrafodaLista"/>
        <w:rPr>
          <w:rFonts w:asciiTheme="minorHAnsi" w:hAnsiTheme="minorHAnsi" w:cstheme="minorHAnsi"/>
          <w:bCs/>
          <w:sz w:val="16"/>
          <w:szCs w:val="16"/>
        </w:rPr>
      </w:pPr>
    </w:p>
    <w:p w14:paraId="671453EB" w14:textId="65FC1A76" w:rsidR="00500AE2" w:rsidRPr="00A92A3E" w:rsidRDefault="00500AE2" w:rsidP="00F5523C">
      <w:pPr>
        <w:pStyle w:val="PargrafodaLista"/>
        <w:numPr>
          <w:ilvl w:val="0"/>
          <w:numId w:val="10"/>
        </w:numPr>
        <w:rPr>
          <w:rFonts w:asciiTheme="minorHAnsi" w:hAnsiTheme="minorHAnsi" w:cstheme="minorHAnsi"/>
          <w:bCs/>
          <w:sz w:val="16"/>
          <w:szCs w:val="16"/>
        </w:rPr>
      </w:pPr>
      <w:r w:rsidRPr="00A92A3E">
        <w:rPr>
          <w:rFonts w:asciiTheme="minorHAnsi" w:hAnsiTheme="minorHAnsi" w:cstheme="minorHAnsi"/>
          <w:bCs/>
          <w:sz w:val="16"/>
          <w:szCs w:val="16"/>
        </w:rPr>
        <w:t>Ser instruído, com os documentos previstos na instrução de preenchimento do modelo disponibilizado na página da Previdência Social, disponível na internet.</w:t>
      </w:r>
    </w:p>
    <w:p w14:paraId="13841639" w14:textId="77777777" w:rsidR="00377B54" w:rsidRPr="00A92A3E" w:rsidRDefault="00500AE2" w:rsidP="00377B54">
      <w:pPr>
        <w:rPr>
          <w:rFonts w:asciiTheme="minorHAnsi" w:hAnsiTheme="minorHAnsi" w:cstheme="minorHAnsi"/>
          <w:bCs/>
          <w:sz w:val="16"/>
          <w:szCs w:val="16"/>
        </w:rPr>
      </w:pPr>
      <w:r w:rsidRPr="00A92A3E">
        <w:rPr>
          <w:rFonts w:asciiTheme="minorHAnsi" w:hAnsiTheme="minorHAnsi" w:cstheme="minorHAnsi"/>
          <w:bCs/>
          <w:sz w:val="16"/>
          <w:szCs w:val="16"/>
        </w:rPr>
        <w:t>Em aspectos mais abrangentes, no processo de seleção dos gestores e administradores, deverão ser considerados os aspectos qualitativos e quantitativos, tendo como parâmetro de análise o mínimo:</w:t>
      </w:r>
    </w:p>
    <w:p w14:paraId="72493743" w14:textId="77777777" w:rsidR="00377B54" w:rsidRPr="00A92A3E" w:rsidRDefault="00500AE2" w:rsidP="00F5523C">
      <w:pPr>
        <w:pStyle w:val="PargrafodaLista"/>
        <w:numPr>
          <w:ilvl w:val="0"/>
          <w:numId w:val="14"/>
        </w:numPr>
        <w:rPr>
          <w:rFonts w:asciiTheme="minorHAnsi" w:hAnsiTheme="minorHAnsi" w:cstheme="minorHAnsi"/>
          <w:bCs/>
          <w:sz w:val="16"/>
          <w:szCs w:val="16"/>
        </w:rPr>
      </w:pPr>
      <w:r w:rsidRPr="00A92A3E">
        <w:rPr>
          <w:rFonts w:asciiTheme="minorHAnsi" w:hAnsiTheme="minorHAnsi" w:cstheme="minorHAnsi"/>
          <w:b/>
          <w:bCs/>
          <w:sz w:val="16"/>
          <w:szCs w:val="16"/>
        </w:rPr>
        <w:t>Tradição e Credibilidade da Instituição</w:t>
      </w:r>
      <w:r w:rsidRPr="00A92A3E">
        <w:rPr>
          <w:rFonts w:asciiTheme="minorHAnsi" w:hAnsiTheme="minorHAnsi" w:cstheme="minorHAnsi"/>
          <w:bCs/>
          <w:sz w:val="16"/>
          <w:szCs w:val="16"/>
        </w:rPr>
        <w:t xml:space="preserve"> – envolvendo volume de recursos administrados e geridos, no Brasil e no exterior, capacitação profissional dos agentes envolvidos na administração e gestão de investimentos do fundo, que incluem formação acadêmica continuada, certificações, reconhecimento público etc., tempo de atuação e maturidade desses agentes na atividade, regularidade da manutenção da equipe, com base na rotatividade dos profissionais e na tempestividade na reposição, além de outras informações relacionadas com a administração e gestão de investimentos que permitam identificar a cultura fiduciária da instituição e seu compromisso com princípios de responsabilidade nos investimentos e de governança</w:t>
      </w:r>
      <w:r w:rsidR="00377B54" w:rsidRPr="00A92A3E">
        <w:rPr>
          <w:rFonts w:asciiTheme="minorHAnsi" w:hAnsiTheme="minorHAnsi" w:cstheme="minorHAnsi"/>
          <w:bCs/>
          <w:sz w:val="16"/>
          <w:szCs w:val="16"/>
        </w:rPr>
        <w:t>;</w:t>
      </w:r>
    </w:p>
    <w:p w14:paraId="30F983D3" w14:textId="77777777" w:rsidR="00377B54" w:rsidRPr="00A92A3E" w:rsidRDefault="00377B54" w:rsidP="00377B54">
      <w:pPr>
        <w:pStyle w:val="PargrafodaLista"/>
        <w:rPr>
          <w:rFonts w:asciiTheme="minorHAnsi" w:hAnsiTheme="minorHAnsi" w:cstheme="minorHAnsi"/>
          <w:bCs/>
          <w:sz w:val="16"/>
          <w:szCs w:val="16"/>
        </w:rPr>
      </w:pPr>
    </w:p>
    <w:p w14:paraId="2175F457" w14:textId="77777777" w:rsidR="00377B54" w:rsidRPr="00A92A3E" w:rsidRDefault="00500AE2" w:rsidP="00F5523C">
      <w:pPr>
        <w:pStyle w:val="PargrafodaLista"/>
        <w:numPr>
          <w:ilvl w:val="0"/>
          <w:numId w:val="14"/>
        </w:numPr>
        <w:rPr>
          <w:rFonts w:asciiTheme="minorHAnsi" w:hAnsiTheme="minorHAnsi" w:cstheme="minorHAnsi"/>
          <w:bCs/>
          <w:sz w:val="16"/>
          <w:szCs w:val="16"/>
        </w:rPr>
      </w:pPr>
      <w:r w:rsidRPr="00A92A3E">
        <w:rPr>
          <w:rFonts w:asciiTheme="minorHAnsi" w:hAnsiTheme="minorHAnsi" w:cstheme="minorHAnsi"/>
          <w:b/>
          <w:bCs/>
          <w:sz w:val="16"/>
          <w:szCs w:val="16"/>
        </w:rPr>
        <w:t>Gestão do Risco</w:t>
      </w:r>
      <w:r w:rsidRPr="00A92A3E">
        <w:rPr>
          <w:rFonts w:asciiTheme="minorHAnsi" w:hAnsiTheme="minorHAnsi" w:cstheme="minorHAnsi"/>
          <w:bCs/>
          <w:sz w:val="16"/>
          <w:szCs w:val="16"/>
        </w:rPr>
        <w:t xml:space="preserve"> – envolvendo qualidade e consistência dos processos de administração e gestão, em especial aos riscos de crédito – quando aplicável – liquidez, mercado, legal e operacional, efetividade dos controles internos, envolvendo, ainda, o uso de ferramentas, softwares e consultorias especializadas, regularidade na prestação de informações, atuação da área de “</w:t>
      </w:r>
      <w:r w:rsidRPr="00A92A3E">
        <w:rPr>
          <w:rFonts w:asciiTheme="minorHAnsi" w:hAnsiTheme="minorHAnsi" w:cstheme="minorHAnsi"/>
          <w:bCs/>
          <w:i/>
          <w:sz w:val="16"/>
          <w:szCs w:val="16"/>
        </w:rPr>
        <w:t>compliance</w:t>
      </w:r>
      <w:r w:rsidRPr="00A92A3E">
        <w:rPr>
          <w:rFonts w:asciiTheme="minorHAnsi" w:hAnsiTheme="minorHAnsi" w:cstheme="minorHAnsi"/>
          <w:bCs/>
          <w:sz w:val="16"/>
          <w:szCs w:val="16"/>
        </w:rPr>
        <w:t>”, capacitação profissional dos agentes envolvidos na administração e gestão de risco do fundo, que incluem formação acadêmica continuada, certificações, reconhecimento público etc., tempo de atuação e maturidade desses agentes na atividade, regularidade da manutenção da equipe de risco, com base na rotatividade dos profissionais e na tempestividade na reposição, além de outras informações relacionadas com a administração e gestão do risco;</w:t>
      </w:r>
    </w:p>
    <w:p w14:paraId="452B6EF1" w14:textId="77777777" w:rsidR="00377B54" w:rsidRPr="00A92A3E" w:rsidRDefault="00377B54" w:rsidP="00377B54">
      <w:pPr>
        <w:pStyle w:val="PargrafodaLista"/>
        <w:rPr>
          <w:rFonts w:asciiTheme="minorHAnsi" w:hAnsiTheme="minorHAnsi" w:cstheme="minorHAnsi"/>
          <w:b/>
          <w:bCs/>
          <w:sz w:val="16"/>
          <w:szCs w:val="16"/>
        </w:rPr>
      </w:pPr>
    </w:p>
    <w:p w14:paraId="36E82A0A" w14:textId="373FB0FF" w:rsidR="00500AE2" w:rsidRPr="00A92A3E" w:rsidRDefault="00500AE2" w:rsidP="00F5523C">
      <w:pPr>
        <w:pStyle w:val="PargrafodaLista"/>
        <w:numPr>
          <w:ilvl w:val="0"/>
          <w:numId w:val="14"/>
        </w:numPr>
        <w:rPr>
          <w:rFonts w:asciiTheme="minorHAnsi" w:hAnsiTheme="minorHAnsi" w:cstheme="minorHAnsi"/>
          <w:bCs/>
          <w:sz w:val="16"/>
          <w:szCs w:val="16"/>
        </w:rPr>
      </w:pPr>
      <w:r w:rsidRPr="00A92A3E">
        <w:rPr>
          <w:rFonts w:asciiTheme="minorHAnsi" w:hAnsiTheme="minorHAnsi" w:cstheme="minorHAnsi"/>
          <w:b/>
          <w:bCs/>
          <w:sz w:val="16"/>
          <w:szCs w:val="16"/>
        </w:rPr>
        <w:t>Avaliação de aderência dos Fundos aos indicadores de desempenho (Benchmark) e riscos</w:t>
      </w:r>
      <w:r w:rsidRPr="00A92A3E">
        <w:rPr>
          <w:rFonts w:asciiTheme="minorHAnsi" w:hAnsiTheme="minorHAnsi" w:cstheme="minorHAnsi"/>
          <w:bCs/>
          <w:sz w:val="16"/>
          <w:szCs w:val="16"/>
        </w:rPr>
        <w:t xml:space="preserve"> – envolvendo a correlação da rentabilidade com seus objetivos e a consistência na entrega de resultados no período mínimo de dois anos anteriores ao credenciamento.</w:t>
      </w:r>
    </w:p>
    <w:p w14:paraId="03A1988E" w14:textId="651AEBA3"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Entende-se que os fundos de investimentos possuem uma gestão discricionária, na qual o gestor decide pelos investimentos que vai realizar, desde que, respeitando o regulamento do fundo de investimento e as normas aplicáveis aos Regimes Próprios de Previdência Social</w:t>
      </w:r>
      <w:r w:rsidR="0066111D" w:rsidRPr="00A92A3E">
        <w:rPr>
          <w:rFonts w:asciiTheme="minorHAnsi" w:hAnsiTheme="minorHAnsi" w:cstheme="minorHAnsi"/>
          <w:sz w:val="16"/>
          <w:szCs w:val="16"/>
        </w:rPr>
        <w:t xml:space="preserve"> - RPPS</w:t>
      </w:r>
      <w:r w:rsidRPr="00A92A3E">
        <w:rPr>
          <w:rFonts w:asciiTheme="minorHAnsi" w:hAnsiTheme="minorHAnsi" w:cstheme="minorHAnsi"/>
          <w:sz w:val="16"/>
          <w:szCs w:val="16"/>
        </w:rPr>
        <w:t>.</w:t>
      </w:r>
    </w:p>
    <w:p w14:paraId="696627AC" w14:textId="3302E7FC"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No que tange ao distribuidor, instituição integrante do sistema de distribuição ou agente autônomo de investimento, sua análise e registro recairá sobre o contrato para distribuição e mediação do</w:t>
      </w:r>
      <w:r w:rsidR="00A2585A" w:rsidRPr="00A92A3E">
        <w:rPr>
          <w:rFonts w:asciiTheme="minorHAnsi" w:hAnsiTheme="minorHAnsi" w:cstheme="minorHAnsi"/>
          <w:sz w:val="16"/>
          <w:szCs w:val="16"/>
        </w:rPr>
        <w:t>s</w:t>
      </w:r>
      <w:r w:rsidRPr="00A92A3E">
        <w:rPr>
          <w:rFonts w:asciiTheme="minorHAnsi" w:hAnsiTheme="minorHAnsi" w:cstheme="minorHAnsi"/>
          <w:sz w:val="16"/>
          <w:szCs w:val="16"/>
        </w:rPr>
        <w:t xml:space="preserve"> produto</w:t>
      </w:r>
      <w:r w:rsidR="00A2585A" w:rsidRPr="00A92A3E">
        <w:rPr>
          <w:rFonts w:asciiTheme="minorHAnsi" w:hAnsiTheme="minorHAnsi" w:cstheme="minorHAnsi"/>
          <w:sz w:val="16"/>
          <w:szCs w:val="16"/>
        </w:rPr>
        <w:t>s</w:t>
      </w:r>
      <w:r w:rsidRPr="00A92A3E">
        <w:rPr>
          <w:rFonts w:asciiTheme="minorHAnsi" w:hAnsiTheme="minorHAnsi" w:cstheme="minorHAnsi"/>
          <w:sz w:val="16"/>
          <w:szCs w:val="16"/>
        </w:rPr>
        <w:t xml:space="preserve"> ofertado e sua regularidade com a Comissão de Valores Mobiliários - CVM.</w:t>
      </w:r>
    </w:p>
    <w:p w14:paraId="4A648A9F" w14:textId="0D0E5A08" w:rsidR="005638A3" w:rsidRPr="00A92A3E" w:rsidRDefault="005638A3" w:rsidP="005638A3">
      <w:pPr>
        <w:rPr>
          <w:rFonts w:asciiTheme="minorHAnsi" w:hAnsiTheme="minorHAnsi" w:cstheme="minorHAnsi"/>
          <w:bCs/>
          <w:sz w:val="16"/>
          <w:szCs w:val="16"/>
        </w:rPr>
      </w:pPr>
      <w:r w:rsidRPr="00A92A3E">
        <w:rPr>
          <w:rFonts w:asciiTheme="minorHAnsi" w:hAnsiTheme="minorHAnsi" w:cstheme="minorHAnsi"/>
          <w:bCs/>
          <w:sz w:val="16"/>
          <w:szCs w:val="16"/>
        </w:rPr>
        <w:t xml:space="preserve">Complementarmente ao processo de </w:t>
      </w:r>
      <w:r w:rsidR="00F9332E" w:rsidRPr="00A92A3E">
        <w:rPr>
          <w:rFonts w:asciiTheme="minorHAnsi" w:hAnsiTheme="minorHAnsi" w:cstheme="minorHAnsi"/>
          <w:bCs/>
          <w:sz w:val="16"/>
          <w:szCs w:val="16"/>
        </w:rPr>
        <w:t>c</w:t>
      </w:r>
      <w:r w:rsidRPr="00A92A3E">
        <w:rPr>
          <w:rFonts w:asciiTheme="minorHAnsi" w:hAnsiTheme="minorHAnsi" w:cstheme="minorHAnsi"/>
          <w:bCs/>
          <w:sz w:val="16"/>
          <w:szCs w:val="16"/>
        </w:rPr>
        <w:t xml:space="preserve">redenciamento, somente serão considerados aptos ou enquadrados a receberem recursos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os fundos de investimento que possuam por prestadores de serviços de gestão e administração de recursos, as Instituições Financeiras que atendem cumulativamente as condições:</w:t>
      </w:r>
    </w:p>
    <w:p w14:paraId="0E26D8F8" w14:textId="77777777" w:rsidR="005638A3" w:rsidRPr="00A92A3E" w:rsidRDefault="005638A3" w:rsidP="00F5523C">
      <w:pPr>
        <w:pStyle w:val="PargrafodaLista"/>
        <w:numPr>
          <w:ilvl w:val="0"/>
          <w:numId w:val="5"/>
        </w:numPr>
        <w:rPr>
          <w:rFonts w:asciiTheme="minorHAnsi" w:hAnsiTheme="minorHAnsi" w:cstheme="minorHAnsi"/>
          <w:bCs/>
          <w:sz w:val="16"/>
          <w:szCs w:val="16"/>
        </w:rPr>
      </w:pPr>
      <w:r w:rsidRPr="00A92A3E">
        <w:rPr>
          <w:rFonts w:asciiTheme="minorHAnsi" w:hAnsiTheme="minorHAnsi" w:cstheme="minorHAnsi"/>
          <w:bCs/>
          <w:sz w:val="16"/>
          <w:szCs w:val="16"/>
        </w:rPr>
        <w:t>O administrador ou gestor dos recursos seja instituição autorizada a funcionar pelo Banco Central do Brasil, obrigada a instituir comitê de auditoria e comitê de riscos nos termos da regulamentação do Conselho Monetário Nacional;</w:t>
      </w:r>
    </w:p>
    <w:p w14:paraId="035E6875" w14:textId="77777777" w:rsidR="005638A3" w:rsidRPr="00A92A3E" w:rsidRDefault="005638A3" w:rsidP="005638A3">
      <w:pPr>
        <w:pStyle w:val="PargrafodaLista"/>
        <w:rPr>
          <w:rFonts w:asciiTheme="minorHAnsi" w:hAnsiTheme="minorHAnsi" w:cstheme="minorHAnsi"/>
          <w:bCs/>
          <w:sz w:val="16"/>
          <w:szCs w:val="16"/>
        </w:rPr>
      </w:pPr>
    </w:p>
    <w:p w14:paraId="57D9F31F" w14:textId="77777777" w:rsidR="005638A3" w:rsidRPr="00A92A3E" w:rsidRDefault="005638A3" w:rsidP="00F5523C">
      <w:pPr>
        <w:pStyle w:val="PargrafodaLista"/>
        <w:numPr>
          <w:ilvl w:val="0"/>
          <w:numId w:val="5"/>
        </w:numPr>
        <w:rPr>
          <w:rFonts w:asciiTheme="minorHAnsi" w:hAnsiTheme="minorHAnsi" w:cstheme="minorHAnsi"/>
          <w:bCs/>
          <w:sz w:val="16"/>
          <w:szCs w:val="16"/>
        </w:rPr>
      </w:pPr>
      <w:r w:rsidRPr="00A92A3E">
        <w:rPr>
          <w:rFonts w:asciiTheme="minorHAnsi" w:hAnsiTheme="minorHAnsi" w:cstheme="minorHAnsi"/>
          <w:bCs/>
          <w:sz w:val="16"/>
          <w:szCs w:val="16"/>
        </w:rPr>
        <w:t>O administrador do fundo de investimento detenha, no máximo, 50% dos recursos sob sua administração oriundos Regimes Próprios de Previdência Social e</w:t>
      </w:r>
    </w:p>
    <w:p w14:paraId="5F50C2F4" w14:textId="77777777" w:rsidR="005638A3" w:rsidRPr="00A92A3E" w:rsidRDefault="005638A3" w:rsidP="005638A3">
      <w:pPr>
        <w:pStyle w:val="PargrafodaLista"/>
        <w:rPr>
          <w:rFonts w:asciiTheme="minorHAnsi" w:hAnsiTheme="minorHAnsi" w:cstheme="minorHAnsi"/>
          <w:bCs/>
          <w:sz w:val="16"/>
          <w:szCs w:val="16"/>
        </w:rPr>
      </w:pPr>
    </w:p>
    <w:p w14:paraId="3853EA8D" w14:textId="7D4391DF" w:rsidR="005638A3" w:rsidRPr="00A92A3E" w:rsidRDefault="005638A3" w:rsidP="00F5523C">
      <w:pPr>
        <w:pStyle w:val="PargrafodaLista"/>
        <w:numPr>
          <w:ilvl w:val="0"/>
          <w:numId w:val="5"/>
        </w:numPr>
        <w:rPr>
          <w:rFonts w:asciiTheme="minorHAnsi" w:hAnsiTheme="minorHAnsi" w:cstheme="minorHAnsi"/>
          <w:bCs/>
          <w:sz w:val="16"/>
          <w:szCs w:val="16"/>
        </w:rPr>
      </w:pPr>
      <w:r w:rsidRPr="00A92A3E">
        <w:rPr>
          <w:rFonts w:asciiTheme="minorHAnsi" w:hAnsiTheme="minorHAnsi" w:cstheme="minorHAnsi"/>
          <w:bCs/>
          <w:sz w:val="16"/>
          <w:szCs w:val="16"/>
        </w:rPr>
        <w:t xml:space="preserve">O gestor e o administrador do fundo de investimento tenham sido objeto de prévio credenciamento e que seja considerado pelos responsáveis pela gestão dos recursos do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como de boa qualidade de gestão e ambiente de controle de investimento.</w:t>
      </w:r>
    </w:p>
    <w:p w14:paraId="208AAD75" w14:textId="47D1600A" w:rsidR="00635488" w:rsidRPr="00A92A3E" w:rsidRDefault="005638A3" w:rsidP="005638A3">
      <w:pPr>
        <w:rPr>
          <w:rFonts w:asciiTheme="minorHAnsi" w:hAnsiTheme="minorHAnsi" w:cstheme="minorHAnsi"/>
          <w:sz w:val="16"/>
          <w:szCs w:val="16"/>
        </w:rPr>
      </w:pPr>
      <w:r w:rsidRPr="00A92A3E">
        <w:rPr>
          <w:rFonts w:asciiTheme="minorHAnsi" w:hAnsiTheme="minorHAnsi" w:cstheme="minorHAnsi"/>
          <w:bCs/>
          <w:sz w:val="16"/>
          <w:szCs w:val="16"/>
        </w:rPr>
        <w:t xml:space="preserve">Em atendimento aos requisitos dispostos, deverão ser observados apenas quando da aplicação dos recursos, podendo os fundos de investimentos não enquadrados nos termos acima, permanecer na carteira de investimentos do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até seu respectivo resgate ou vencimento.</w:t>
      </w:r>
    </w:p>
    <w:p w14:paraId="79E6950D" w14:textId="46440230" w:rsidR="00500AE2" w:rsidRPr="00A92A3E" w:rsidRDefault="00DB7944" w:rsidP="00DB7944">
      <w:pPr>
        <w:pStyle w:val="Ttulo2"/>
        <w:rPr>
          <w:rFonts w:asciiTheme="minorHAnsi" w:hAnsiTheme="minorHAnsi" w:cstheme="minorHAnsi"/>
          <w:sz w:val="16"/>
          <w:szCs w:val="16"/>
        </w:rPr>
      </w:pPr>
      <w:bookmarkStart w:id="116" w:name="_Toc118105156"/>
      <w:r w:rsidRPr="00A92A3E">
        <w:rPr>
          <w:rFonts w:asciiTheme="minorHAnsi" w:hAnsiTheme="minorHAnsi" w:cstheme="minorHAnsi"/>
          <w:sz w:val="16"/>
          <w:szCs w:val="16"/>
        </w:rPr>
        <w:t>Processo de Execução</w:t>
      </w:r>
      <w:bookmarkEnd w:id="116"/>
    </w:p>
    <w:p w14:paraId="1DF11C18" w14:textId="29E93072"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O credenciamento se dará por meio eletrônico, através do sistema eletrônico utilizado pelo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xml:space="preserve">, no âmbito de controle, inclusive no gerenciamento dos documentos e certidões </w:t>
      </w:r>
      <w:r w:rsidR="00C7483F" w:rsidRPr="00A92A3E">
        <w:rPr>
          <w:rFonts w:asciiTheme="minorHAnsi" w:hAnsiTheme="minorHAnsi" w:cstheme="minorHAnsi"/>
          <w:sz w:val="16"/>
          <w:szCs w:val="16"/>
        </w:rPr>
        <w:t xml:space="preserve">negativas </w:t>
      </w:r>
      <w:r w:rsidRPr="00A92A3E">
        <w:rPr>
          <w:rFonts w:asciiTheme="minorHAnsi" w:hAnsiTheme="minorHAnsi" w:cstheme="minorHAnsi"/>
          <w:sz w:val="16"/>
          <w:szCs w:val="16"/>
        </w:rPr>
        <w:t>requisitadas.</w:t>
      </w:r>
    </w:p>
    <w:p w14:paraId="45CF8EAC"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Fica definido adicionalmente como medida de segurança e como critério documental para credenciamento, o relatório </w:t>
      </w:r>
      <w:r w:rsidRPr="00A92A3E">
        <w:rPr>
          <w:rFonts w:asciiTheme="minorHAnsi" w:hAnsiTheme="minorHAnsi" w:cstheme="minorHAnsi"/>
          <w:i/>
          <w:sz w:val="16"/>
          <w:szCs w:val="16"/>
        </w:rPr>
        <w:t xml:space="preserve">Due Diligence </w:t>
      </w:r>
      <w:r w:rsidRPr="00A92A3E">
        <w:rPr>
          <w:rFonts w:asciiTheme="minorHAnsi" w:hAnsiTheme="minorHAnsi" w:cstheme="minorHAnsi"/>
          <w:sz w:val="16"/>
          <w:szCs w:val="16"/>
        </w:rPr>
        <w:t>da ANBIMA entendidos como “Seção UM, DOIS e TRÊS”.</w:t>
      </w:r>
    </w:p>
    <w:p w14:paraId="46A1410A" w14:textId="466478E1"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Encontra-se qualificado a participar do processo seletivo qualquer Instituição Financeira administradora e/ou gestora de recursos financeiros dos fundos de investimentos em que figurarem instituições autorizadas a funcionar pelo Banco Central do Brasil obrigadas a instituir comitê de auditoria e comitê de riscos, nos termos das Resoluções CMN n° 3.198/2004 e n° 4.557/2017, respectivamente. As demais </w:t>
      </w:r>
      <w:r w:rsidR="00A64E7B" w:rsidRPr="00A92A3E">
        <w:rPr>
          <w:rFonts w:asciiTheme="minorHAnsi" w:hAnsiTheme="minorHAnsi" w:cstheme="minorHAnsi"/>
          <w:sz w:val="16"/>
          <w:szCs w:val="16"/>
        </w:rPr>
        <w:t>I</w:t>
      </w:r>
      <w:r w:rsidRPr="00A92A3E">
        <w:rPr>
          <w:rFonts w:asciiTheme="minorHAnsi" w:hAnsiTheme="minorHAnsi" w:cstheme="minorHAnsi"/>
          <w:sz w:val="16"/>
          <w:szCs w:val="16"/>
        </w:rPr>
        <w:t>nstituições</w:t>
      </w:r>
      <w:r w:rsidR="00A64E7B" w:rsidRPr="00A92A3E">
        <w:rPr>
          <w:rFonts w:asciiTheme="minorHAnsi" w:hAnsiTheme="minorHAnsi" w:cstheme="minorHAnsi"/>
          <w:sz w:val="16"/>
          <w:szCs w:val="16"/>
        </w:rPr>
        <w:t xml:space="preserve"> Financeiras</w:t>
      </w:r>
      <w:r w:rsidRPr="00A92A3E">
        <w:rPr>
          <w:rFonts w:asciiTheme="minorHAnsi" w:hAnsiTheme="minorHAnsi" w:cstheme="minorHAnsi"/>
          <w:sz w:val="16"/>
          <w:szCs w:val="16"/>
        </w:rPr>
        <w:t xml:space="preserve"> que não cumprem tais requisitos, podem ser credenciadas normalmente, entretanto para tal </w:t>
      </w:r>
      <w:r w:rsidR="002041B1" w:rsidRPr="00A92A3E">
        <w:rPr>
          <w:rFonts w:asciiTheme="minorHAnsi" w:hAnsiTheme="minorHAnsi" w:cstheme="minorHAnsi"/>
          <w:sz w:val="16"/>
          <w:szCs w:val="16"/>
        </w:rPr>
        <w:t>I</w:t>
      </w:r>
      <w:r w:rsidRPr="00A92A3E">
        <w:rPr>
          <w:rFonts w:asciiTheme="minorHAnsi" w:hAnsiTheme="minorHAnsi" w:cstheme="minorHAnsi"/>
          <w:sz w:val="16"/>
          <w:szCs w:val="16"/>
        </w:rPr>
        <w:t xml:space="preserve">nstituição </w:t>
      </w:r>
      <w:r w:rsidR="002041B1" w:rsidRPr="00A92A3E">
        <w:rPr>
          <w:rFonts w:asciiTheme="minorHAnsi" w:hAnsiTheme="minorHAnsi" w:cstheme="minorHAnsi"/>
          <w:sz w:val="16"/>
          <w:szCs w:val="16"/>
        </w:rPr>
        <w:t xml:space="preserve">Financeira </w:t>
      </w:r>
      <w:r w:rsidRPr="00A92A3E">
        <w:rPr>
          <w:rFonts w:asciiTheme="minorHAnsi" w:hAnsiTheme="minorHAnsi" w:cstheme="minorHAnsi"/>
          <w:sz w:val="16"/>
          <w:szCs w:val="16"/>
        </w:rPr>
        <w:t xml:space="preserve">estar apta ao aporte do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deve ter ao menos um dos prestadores de serviço devidamente enquadrado.</w:t>
      </w:r>
    </w:p>
    <w:p w14:paraId="3348ED55" w14:textId="60BFC566"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Os demais parâmetros para o credenciamento foram adotados no processo de implantação das regras, procedimentos e controles internos do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sz w:val="16"/>
          <w:szCs w:val="16"/>
        </w:rPr>
        <w:t xml:space="preserve"> </w:t>
      </w:r>
      <w:r w:rsidRPr="00A92A3E">
        <w:rPr>
          <w:rFonts w:asciiTheme="minorHAnsi" w:hAnsiTheme="minorHAnsi" w:cstheme="minorHAnsi"/>
          <w:sz w:val="16"/>
          <w:szCs w:val="16"/>
        </w:rPr>
        <w:t xml:space="preserve">que visam garantir o cumprimento de suas obrigações, respeitando </w:t>
      </w:r>
      <w:r w:rsidR="002041B1" w:rsidRPr="00A92A3E">
        <w:rPr>
          <w:rFonts w:asciiTheme="minorHAnsi" w:hAnsiTheme="minorHAnsi" w:cstheme="minorHAnsi"/>
          <w:sz w:val="16"/>
          <w:szCs w:val="16"/>
        </w:rPr>
        <w:t>esta</w:t>
      </w:r>
      <w:r w:rsidRPr="00A92A3E">
        <w:rPr>
          <w:rFonts w:asciiTheme="minorHAnsi" w:hAnsiTheme="minorHAnsi" w:cstheme="minorHAnsi"/>
          <w:sz w:val="16"/>
          <w:szCs w:val="16"/>
        </w:rPr>
        <w:t xml:space="preserve"> Política de Investimentos, observados os segmentos, limites e demais requisitos previstos estabelecidos e os parâmetros estabelecidos nas normas gerais de organização e funcionamento dos Regimes Próprios de Previdência Social</w:t>
      </w:r>
      <w:r w:rsidR="002041B1" w:rsidRPr="00A92A3E">
        <w:rPr>
          <w:rFonts w:asciiTheme="minorHAnsi" w:hAnsiTheme="minorHAnsi" w:cstheme="minorHAnsi"/>
          <w:sz w:val="16"/>
          <w:szCs w:val="16"/>
        </w:rPr>
        <w:t xml:space="preserve"> - RPPS</w:t>
      </w:r>
      <w:r w:rsidRPr="00A92A3E">
        <w:rPr>
          <w:rFonts w:asciiTheme="minorHAnsi" w:hAnsiTheme="minorHAnsi" w:cstheme="minorHAnsi"/>
          <w:sz w:val="16"/>
          <w:szCs w:val="16"/>
        </w:rPr>
        <w:t>, em regulamentação da Secretaria de Previdência.</w:t>
      </w:r>
    </w:p>
    <w:p w14:paraId="75C6B91E" w14:textId="77777777" w:rsidR="00635488" w:rsidRPr="00A92A3E" w:rsidRDefault="00635488" w:rsidP="00500AE2">
      <w:pPr>
        <w:rPr>
          <w:rFonts w:asciiTheme="minorHAnsi" w:hAnsiTheme="minorHAnsi" w:cstheme="minorHAnsi"/>
          <w:sz w:val="16"/>
          <w:szCs w:val="16"/>
        </w:rPr>
      </w:pPr>
    </w:p>
    <w:p w14:paraId="0FC5A169" w14:textId="1EE5BA24" w:rsidR="00500AE2" w:rsidRPr="00A92A3E" w:rsidRDefault="00DB7944" w:rsidP="00377B54">
      <w:pPr>
        <w:pStyle w:val="Ttulo2"/>
        <w:rPr>
          <w:rFonts w:asciiTheme="minorHAnsi" w:hAnsiTheme="minorHAnsi" w:cstheme="minorHAnsi"/>
          <w:sz w:val="16"/>
          <w:szCs w:val="16"/>
        </w:rPr>
      </w:pPr>
      <w:bookmarkStart w:id="117" w:name="_Toc118105157"/>
      <w:r w:rsidRPr="00A92A3E">
        <w:rPr>
          <w:rFonts w:asciiTheme="minorHAnsi" w:hAnsiTheme="minorHAnsi" w:cstheme="minorHAnsi"/>
          <w:sz w:val="16"/>
          <w:szCs w:val="16"/>
        </w:rPr>
        <w:t>Validade</w:t>
      </w:r>
      <w:bookmarkEnd w:id="117"/>
    </w:p>
    <w:p w14:paraId="16855B3B" w14:textId="2746513A" w:rsidR="00377B54" w:rsidRPr="00A92A3E" w:rsidRDefault="00500AE2" w:rsidP="00DD3EDC">
      <w:pPr>
        <w:rPr>
          <w:rFonts w:asciiTheme="minorHAnsi" w:hAnsiTheme="minorHAnsi" w:cstheme="minorHAnsi"/>
          <w:sz w:val="16"/>
          <w:szCs w:val="16"/>
        </w:rPr>
      </w:pPr>
      <w:r w:rsidRPr="00A92A3E">
        <w:rPr>
          <w:rFonts w:asciiTheme="minorHAnsi" w:hAnsiTheme="minorHAnsi" w:cstheme="minorHAnsi"/>
          <w:sz w:val="16"/>
          <w:szCs w:val="16"/>
        </w:rPr>
        <w:t>As análises dos quesitos verificados nos processos de credenciamento, deverão ser atualizados a cada 24 (vinte e quatro) meses ou sempre que houver a necessidade.</w:t>
      </w:r>
      <w:bookmarkStart w:id="118" w:name="_Toc435189700"/>
      <w:bookmarkStart w:id="119" w:name="_Toc435202758"/>
      <w:bookmarkStart w:id="120" w:name="_Toc490036563"/>
    </w:p>
    <w:p w14:paraId="15099378" w14:textId="77777777" w:rsidR="00500AE2" w:rsidRPr="00A92A3E" w:rsidRDefault="00500AE2" w:rsidP="00377B54">
      <w:pPr>
        <w:pStyle w:val="Ttulo1"/>
        <w:rPr>
          <w:rFonts w:asciiTheme="minorHAnsi" w:hAnsiTheme="minorHAnsi" w:cstheme="minorHAnsi"/>
          <w:sz w:val="16"/>
          <w:szCs w:val="16"/>
        </w:rPr>
      </w:pPr>
      <w:bookmarkStart w:id="121" w:name="_Toc118105158"/>
      <w:bookmarkStart w:id="122" w:name="_Toc150330300"/>
      <w:r w:rsidRPr="00A92A3E">
        <w:rPr>
          <w:rFonts w:asciiTheme="minorHAnsi" w:hAnsiTheme="minorHAnsi" w:cstheme="minorHAnsi"/>
          <w:sz w:val="16"/>
          <w:szCs w:val="16"/>
        </w:rPr>
        <w:lastRenderedPageBreak/>
        <w:t>PRECIFICAÇÃO DE ATIVOS</w:t>
      </w:r>
      <w:bookmarkEnd w:id="121"/>
      <w:bookmarkEnd w:id="122"/>
    </w:p>
    <w:p w14:paraId="2B6B1C71" w14:textId="28A6DC28"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Os princípios e critérios de precificação para os ativos e os fundos de investimentos que compõe ou que virão a compor a carteira de investimentos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deverão seguir o critério de precificação de marcação a mercado (MaM).</w:t>
      </w:r>
    </w:p>
    <w:p w14:paraId="094EE459" w14:textId="77777777" w:rsidR="00635488" w:rsidRPr="00A92A3E" w:rsidRDefault="00635488" w:rsidP="00500AE2">
      <w:pPr>
        <w:rPr>
          <w:rFonts w:asciiTheme="minorHAnsi" w:hAnsiTheme="minorHAnsi" w:cstheme="minorHAnsi"/>
          <w:sz w:val="16"/>
          <w:szCs w:val="16"/>
        </w:rPr>
      </w:pPr>
    </w:p>
    <w:p w14:paraId="2FCACA27" w14:textId="7299CD69" w:rsidR="00500AE2" w:rsidRPr="00A92A3E" w:rsidRDefault="00DB7944" w:rsidP="00500AE2">
      <w:pPr>
        <w:pStyle w:val="Ttulo2"/>
        <w:rPr>
          <w:rFonts w:asciiTheme="minorHAnsi" w:hAnsiTheme="minorHAnsi" w:cstheme="minorHAnsi"/>
          <w:sz w:val="16"/>
          <w:szCs w:val="16"/>
        </w:rPr>
      </w:pPr>
      <w:bookmarkStart w:id="123" w:name="_Toc118105159"/>
      <w:r w:rsidRPr="00A92A3E">
        <w:rPr>
          <w:rFonts w:asciiTheme="minorHAnsi" w:hAnsiTheme="minorHAnsi" w:cstheme="minorHAnsi"/>
          <w:sz w:val="16"/>
          <w:szCs w:val="16"/>
        </w:rPr>
        <w:t>Metodologia</w:t>
      </w:r>
      <w:bookmarkEnd w:id="123"/>
    </w:p>
    <w:p w14:paraId="11B9FECE" w14:textId="4EEFFA96" w:rsidR="00500AE2" w:rsidRPr="00A92A3E" w:rsidRDefault="00DB7944" w:rsidP="00B4229D">
      <w:pPr>
        <w:pStyle w:val="Ttulo3"/>
        <w:rPr>
          <w:rFonts w:asciiTheme="minorHAnsi" w:hAnsiTheme="minorHAnsi" w:cstheme="minorHAnsi"/>
          <w:sz w:val="16"/>
          <w:szCs w:val="16"/>
        </w:rPr>
      </w:pPr>
      <w:bookmarkStart w:id="124" w:name="_Toc118105160"/>
      <w:r w:rsidRPr="00A92A3E">
        <w:rPr>
          <w:rFonts w:asciiTheme="minorHAnsi" w:hAnsiTheme="minorHAnsi" w:cstheme="minorHAnsi"/>
          <w:sz w:val="16"/>
          <w:szCs w:val="16"/>
        </w:rPr>
        <w:t>Marcações</w:t>
      </w:r>
      <w:bookmarkEnd w:id="124"/>
    </w:p>
    <w:p w14:paraId="2770E700"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O processo de </w:t>
      </w:r>
      <w:r w:rsidRPr="00A92A3E">
        <w:rPr>
          <w:rFonts w:asciiTheme="minorHAnsi" w:hAnsiTheme="minorHAnsi" w:cstheme="minorHAnsi"/>
          <w:b/>
          <w:sz w:val="16"/>
          <w:szCs w:val="16"/>
          <w:u w:val="single"/>
        </w:rPr>
        <w:t>marcação a mercado</w:t>
      </w:r>
      <w:r w:rsidRPr="00A92A3E">
        <w:rPr>
          <w:rFonts w:asciiTheme="minorHAnsi" w:hAnsiTheme="minorHAnsi" w:cstheme="minorHAnsi"/>
          <w:sz w:val="16"/>
          <w:szCs w:val="16"/>
        </w:rPr>
        <w:t xml:space="preserve"> consiste em atribuir um preço justo a um determinado ativo ou derivativo, seja pelo preço de mercado, caso haja liquidez, ou seja, na ausência desta, pela melhor estimativa que o preço do ativo teria em uma eventual negociação.</w:t>
      </w:r>
    </w:p>
    <w:p w14:paraId="315AAD63"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O processo de </w:t>
      </w:r>
      <w:r w:rsidRPr="00A92A3E">
        <w:rPr>
          <w:rFonts w:asciiTheme="minorHAnsi" w:hAnsiTheme="minorHAnsi" w:cstheme="minorHAnsi"/>
          <w:b/>
          <w:sz w:val="16"/>
          <w:szCs w:val="16"/>
          <w:u w:val="single"/>
        </w:rPr>
        <w:t>marcação na curva</w:t>
      </w:r>
      <w:r w:rsidRPr="00A92A3E">
        <w:rPr>
          <w:rFonts w:asciiTheme="minorHAnsi" w:hAnsiTheme="minorHAnsi" w:cstheme="minorHAnsi"/>
          <w:sz w:val="16"/>
          <w:szCs w:val="16"/>
        </w:rPr>
        <w:t xml:space="preserve"> consiste na contabilização do valor de compra de um determinado título, acrescido da variação da taxa de juros, desde que a emissão do papel seja carregada até o seu respectivo vencimento. O valor será atualizado diariamente, sem considerar a oscilações de preço auferidas no mercado.</w:t>
      </w:r>
    </w:p>
    <w:p w14:paraId="14C43C80" w14:textId="77777777" w:rsidR="00635488" w:rsidRPr="00A92A3E" w:rsidRDefault="00635488" w:rsidP="00500AE2">
      <w:pPr>
        <w:rPr>
          <w:rFonts w:asciiTheme="minorHAnsi" w:hAnsiTheme="minorHAnsi" w:cstheme="minorHAnsi"/>
          <w:sz w:val="16"/>
          <w:szCs w:val="16"/>
        </w:rPr>
      </w:pPr>
    </w:p>
    <w:p w14:paraId="7EBA8641" w14:textId="242AC7DF" w:rsidR="00500AE2" w:rsidRPr="00A92A3E" w:rsidRDefault="00DB7944" w:rsidP="00500AE2">
      <w:pPr>
        <w:pStyle w:val="Ttulo2"/>
        <w:rPr>
          <w:rFonts w:asciiTheme="minorHAnsi" w:hAnsiTheme="minorHAnsi" w:cstheme="minorHAnsi"/>
          <w:sz w:val="16"/>
          <w:szCs w:val="16"/>
        </w:rPr>
      </w:pPr>
      <w:bookmarkStart w:id="125" w:name="_Toc118105161"/>
      <w:r w:rsidRPr="00A92A3E">
        <w:rPr>
          <w:rFonts w:asciiTheme="minorHAnsi" w:hAnsiTheme="minorHAnsi" w:cstheme="minorHAnsi"/>
          <w:sz w:val="16"/>
          <w:szCs w:val="16"/>
        </w:rPr>
        <w:t>Critérios de Precificação</w:t>
      </w:r>
      <w:bookmarkEnd w:id="125"/>
    </w:p>
    <w:p w14:paraId="54BD5CE7" w14:textId="0B8452B7" w:rsidR="00500AE2" w:rsidRPr="00A92A3E" w:rsidRDefault="00DB7944" w:rsidP="00B4229D">
      <w:pPr>
        <w:pStyle w:val="Ttulo3"/>
        <w:rPr>
          <w:rFonts w:asciiTheme="minorHAnsi" w:hAnsiTheme="minorHAnsi" w:cstheme="minorHAnsi"/>
          <w:sz w:val="16"/>
          <w:szCs w:val="16"/>
        </w:rPr>
      </w:pPr>
      <w:bookmarkStart w:id="126" w:name="_Toc118105162"/>
      <w:r w:rsidRPr="00A92A3E">
        <w:rPr>
          <w:rFonts w:asciiTheme="minorHAnsi" w:hAnsiTheme="minorHAnsi" w:cstheme="minorHAnsi"/>
          <w:sz w:val="16"/>
          <w:szCs w:val="16"/>
        </w:rPr>
        <w:t>Títulos Públicos Federais</w:t>
      </w:r>
      <w:bookmarkEnd w:id="126"/>
    </w:p>
    <w:p w14:paraId="7FA1FC54"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São ativos de renda fixa emitidos pelo Tesouro Nacional, que representam uma forma de financiar a dívida pública e permitem que os investidores emprestem dinheiro para o governo, recebendo em troca uma determinada rentabilidade. Possuem diversas características como: liquidez diária, baixo custo, baixíssimo risco de crédito, e a solidez de uma instituição enorme por trás.</w:t>
      </w:r>
    </w:p>
    <w:p w14:paraId="045A30BC"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Como fonte primária de dados, a curva de títulos em reais, gerada a partir da taxa indicativa divulgada pela ANBIMA e a taxa de juros divulgada pelo Banco Central, encontramos o valor do preço unitário do título público.</w:t>
      </w:r>
    </w:p>
    <w:p w14:paraId="130C467C" w14:textId="77777777" w:rsidR="00500AE2" w:rsidRPr="00A92A3E" w:rsidRDefault="00500AE2" w:rsidP="00F32905">
      <w:pPr>
        <w:pStyle w:val="Ttulo4"/>
        <w:rPr>
          <w:rFonts w:asciiTheme="minorHAnsi" w:hAnsiTheme="minorHAnsi" w:cstheme="minorHAnsi"/>
          <w:sz w:val="16"/>
          <w:szCs w:val="16"/>
        </w:rPr>
      </w:pPr>
      <w:r w:rsidRPr="00A92A3E">
        <w:rPr>
          <w:rFonts w:asciiTheme="minorHAnsi" w:hAnsiTheme="minorHAnsi" w:cstheme="minorHAnsi"/>
          <w:sz w:val="16"/>
          <w:szCs w:val="16"/>
        </w:rPr>
        <w:t>Marcação a Mercado</w:t>
      </w:r>
    </w:p>
    <w:p w14:paraId="58F8C0A3"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Através do preço unitário divulgado no extrato do custodiante, multiplicado pela quantidade de títulos públicos detidos pelo regime, obtivemos o valor a mercado do título público na carteira de investimentos. Abaixo segue fórmula:</w:t>
      </w:r>
    </w:p>
    <w:p w14:paraId="5A0312E4" w14:textId="77777777" w:rsidR="00500AE2" w:rsidRPr="00A92A3E" w:rsidRDefault="00500AE2" w:rsidP="00500AE2">
      <w:pPr>
        <w:rPr>
          <w:rFonts w:asciiTheme="minorHAnsi" w:hAnsiTheme="minorHAnsi" w:cstheme="minorHAnsi"/>
          <w:sz w:val="16"/>
          <w:szCs w:val="16"/>
        </w:rPr>
      </w:pPr>
      <m:oMathPara>
        <m:oMathParaPr>
          <m:jc m:val="center"/>
        </m:oMathParaPr>
        <m:oMath>
          <m:r>
            <w:rPr>
              <w:rFonts w:ascii="Cambria Math" w:hAnsi="Cambria Math" w:cstheme="minorHAnsi"/>
              <w:sz w:val="16"/>
              <w:szCs w:val="16"/>
            </w:rPr>
            <m:t>Vm=P</m:t>
          </m:r>
          <m:sSub>
            <m:sSubPr>
              <m:ctrlPr>
                <w:rPr>
                  <w:rFonts w:ascii="Cambria Math" w:hAnsi="Cambria Math" w:cstheme="minorHAnsi"/>
                  <w:i/>
                  <w:sz w:val="16"/>
                  <w:szCs w:val="16"/>
                </w:rPr>
              </m:ctrlPr>
            </m:sSubPr>
            <m:e>
              <m:r>
                <w:rPr>
                  <w:rFonts w:ascii="Cambria Math" w:hAnsi="Cambria Math" w:cstheme="minorHAnsi"/>
                  <w:sz w:val="16"/>
                  <w:szCs w:val="16"/>
                </w:rPr>
                <m:t>U</m:t>
              </m:r>
            </m:e>
            <m:sub>
              <m:r>
                <w:rPr>
                  <w:rFonts w:ascii="Cambria Math" w:hAnsi="Cambria Math" w:cstheme="minorHAnsi"/>
                  <w:sz w:val="16"/>
                  <w:szCs w:val="16"/>
                </w:rPr>
                <m:t>Atual</m:t>
              </m:r>
            </m:sub>
          </m:sSub>
          <m:r>
            <w:rPr>
              <w:rFonts w:ascii="Cambria Math" w:hAnsi="Cambria Math" w:cstheme="minorHAnsi"/>
              <w:sz w:val="16"/>
              <w:szCs w:val="16"/>
            </w:rPr>
            <m:t>*Q</m:t>
          </m:r>
          <m:sSub>
            <m:sSubPr>
              <m:ctrlPr>
                <w:rPr>
                  <w:rFonts w:ascii="Cambria Math" w:hAnsi="Cambria Math" w:cstheme="minorHAnsi"/>
                  <w:i/>
                  <w:sz w:val="16"/>
                  <w:szCs w:val="16"/>
                </w:rPr>
              </m:ctrlPr>
            </m:sSubPr>
            <m:e>
              <m:r>
                <w:rPr>
                  <w:rFonts w:ascii="Cambria Math" w:hAnsi="Cambria Math" w:cstheme="minorHAnsi"/>
                  <w:sz w:val="16"/>
                  <w:szCs w:val="16"/>
                </w:rPr>
                <m:t>t</m:t>
              </m:r>
            </m:e>
            <m:sub>
              <m:r>
                <w:rPr>
                  <w:rFonts w:ascii="Cambria Math" w:hAnsi="Cambria Math" w:cstheme="minorHAnsi"/>
                  <w:sz w:val="16"/>
                  <w:szCs w:val="16"/>
                </w:rPr>
                <m:t>título</m:t>
              </m:r>
            </m:sub>
          </m:sSub>
        </m:oMath>
      </m:oMathPara>
    </w:p>
    <w:p w14:paraId="42F8A153"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Onde:</w:t>
      </w:r>
    </w:p>
    <w:p w14:paraId="5751C797" w14:textId="77777777" w:rsidR="00500AE2" w:rsidRPr="00A92A3E" w:rsidRDefault="00500AE2" w:rsidP="00500AE2">
      <w:pPr>
        <w:spacing w:after="0"/>
        <w:ind w:left="1134"/>
        <w:rPr>
          <w:rFonts w:asciiTheme="minorHAnsi" w:hAnsiTheme="minorHAnsi" w:cstheme="minorHAnsi"/>
          <w:sz w:val="16"/>
          <w:szCs w:val="16"/>
        </w:rPr>
      </w:pPr>
      <w:r w:rsidRPr="00A92A3E">
        <w:rPr>
          <w:rFonts w:asciiTheme="minorHAnsi" w:hAnsiTheme="minorHAnsi" w:cstheme="minorHAnsi"/>
          <w:b/>
          <w:i/>
          <w:sz w:val="16"/>
          <w:szCs w:val="16"/>
        </w:rPr>
        <w:t>Vm</w:t>
      </w:r>
      <w:r w:rsidRPr="00A92A3E">
        <w:rPr>
          <w:rFonts w:asciiTheme="minorHAnsi" w:hAnsiTheme="minorHAnsi" w:cstheme="minorHAnsi"/>
          <w:sz w:val="16"/>
          <w:szCs w:val="16"/>
        </w:rPr>
        <w:t xml:space="preserve"> = valor de mercado</w:t>
      </w:r>
    </w:p>
    <w:p w14:paraId="7762CEE8" w14:textId="77777777" w:rsidR="00500AE2" w:rsidRPr="00A92A3E" w:rsidRDefault="00500AE2" w:rsidP="00500AE2">
      <w:pPr>
        <w:spacing w:after="0"/>
        <w:ind w:left="1134"/>
        <w:rPr>
          <w:rFonts w:asciiTheme="minorHAnsi" w:hAnsiTheme="minorHAnsi" w:cstheme="minorHAnsi"/>
          <w:sz w:val="16"/>
          <w:szCs w:val="16"/>
        </w:rPr>
      </w:pPr>
      <m:oMath>
        <m:r>
          <w:rPr>
            <w:rFonts w:ascii="Cambria Math" w:eastAsiaTheme="minorEastAsia" w:hAnsi="Cambria Math" w:cstheme="minorHAnsi"/>
            <w:sz w:val="16"/>
            <w:szCs w:val="16"/>
          </w:rPr>
          <m:t>P</m:t>
        </m:r>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U</m:t>
            </m:r>
          </m:e>
          <m:sub>
            <m:r>
              <w:rPr>
                <w:rFonts w:ascii="Cambria Math" w:eastAsiaTheme="minorEastAsia" w:hAnsi="Cambria Math" w:cstheme="minorHAnsi"/>
                <w:sz w:val="16"/>
                <w:szCs w:val="16"/>
              </w:rPr>
              <m:t>atual</m:t>
            </m:r>
          </m:sub>
        </m:sSub>
      </m:oMath>
      <w:r w:rsidRPr="00A92A3E">
        <w:rPr>
          <w:rFonts w:asciiTheme="minorHAnsi" w:hAnsiTheme="minorHAnsi" w:cstheme="minorHAnsi"/>
          <w:sz w:val="16"/>
          <w:szCs w:val="16"/>
        </w:rPr>
        <w:t xml:space="preserve"> = preço unitário atual</w:t>
      </w:r>
    </w:p>
    <w:p w14:paraId="24A89F6E" w14:textId="77777777" w:rsidR="00500AE2" w:rsidRPr="00A92A3E" w:rsidRDefault="00500AE2" w:rsidP="00500AE2">
      <w:pPr>
        <w:ind w:left="1134"/>
        <w:rPr>
          <w:rFonts w:asciiTheme="minorHAnsi" w:hAnsiTheme="minorHAnsi" w:cstheme="minorHAnsi"/>
          <w:sz w:val="16"/>
          <w:szCs w:val="16"/>
        </w:rPr>
      </w:pPr>
      <m:oMath>
        <m:r>
          <w:rPr>
            <w:rFonts w:ascii="Cambria Math" w:hAnsi="Cambria Math" w:cstheme="minorHAnsi"/>
            <w:sz w:val="16"/>
            <w:szCs w:val="16"/>
          </w:rPr>
          <m:t>Q</m:t>
        </m:r>
        <m:sSub>
          <m:sSubPr>
            <m:ctrlPr>
              <w:rPr>
                <w:rFonts w:ascii="Cambria Math" w:hAnsi="Cambria Math" w:cstheme="minorHAnsi"/>
                <w:i/>
                <w:sz w:val="16"/>
                <w:szCs w:val="16"/>
              </w:rPr>
            </m:ctrlPr>
          </m:sSubPr>
          <m:e>
            <m:r>
              <w:rPr>
                <w:rFonts w:ascii="Cambria Math" w:hAnsi="Cambria Math" w:cstheme="minorHAnsi"/>
                <w:sz w:val="16"/>
                <w:szCs w:val="16"/>
              </w:rPr>
              <m:t>t</m:t>
            </m:r>
          </m:e>
          <m:sub>
            <m:r>
              <w:rPr>
                <w:rFonts w:ascii="Cambria Math" w:hAnsi="Cambria Math" w:cstheme="minorHAnsi"/>
                <w:sz w:val="16"/>
                <w:szCs w:val="16"/>
              </w:rPr>
              <m:t>títulos</m:t>
            </m:r>
          </m:sub>
        </m:sSub>
      </m:oMath>
      <w:r w:rsidRPr="00A92A3E">
        <w:rPr>
          <w:rFonts w:asciiTheme="minorHAnsi" w:hAnsiTheme="minorHAnsi" w:cstheme="minorHAnsi"/>
          <w:sz w:val="16"/>
          <w:szCs w:val="16"/>
        </w:rPr>
        <w:t xml:space="preserve"> = quantidade de títulos em posso do regime</w:t>
      </w:r>
    </w:p>
    <w:p w14:paraId="73F91041" w14:textId="77777777" w:rsidR="00500AE2" w:rsidRPr="00A92A3E" w:rsidRDefault="00500AE2" w:rsidP="00F32905">
      <w:pPr>
        <w:pStyle w:val="Ttulo4"/>
        <w:rPr>
          <w:rFonts w:asciiTheme="minorHAnsi" w:hAnsiTheme="minorHAnsi" w:cstheme="minorHAnsi"/>
          <w:sz w:val="16"/>
          <w:szCs w:val="16"/>
        </w:rPr>
      </w:pPr>
      <w:r w:rsidRPr="00A92A3E">
        <w:rPr>
          <w:rFonts w:asciiTheme="minorHAnsi" w:hAnsiTheme="minorHAnsi" w:cstheme="minorHAnsi"/>
          <w:sz w:val="16"/>
          <w:szCs w:val="16"/>
        </w:rPr>
        <w:t>Marcação na Curva</w:t>
      </w:r>
    </w:p>
    <w:p w14:paraId="49276F37" w14:textId="7A27DC90" w:rsidR="00167BA3" w:rsidRPr="00A92A3E" w:rsidRDefault="00247DFC" w:rsidP="00AD276C">
      <w:pPr>
        <w:rPr>
          <w:rFonts w:asciiTheme="minorHAnsi" w:hAnsiTheme="minorHAnsi" w:cstheme="minorHAnsi"/>
          <w:bCs/>
          <w:sz w:val="16"/>
          <w:szCs w:val="16"/>
        </w:rPr>
      </w:pPr>
      <w:r w:rsidRPr="00A92A3E">
        <w:rPr>
          <w:rFonts w:asciiTheme="minorHAnsi" w:hAnsiTheme="minorHAnsi" w:cstheme="minorHAnsi"/>
          <w:bCs/>
          <w:sz w:val="16"/>
          <w:szCs w:val="16"/>
        </w:rPr>
        <w:t xml:space="preserve">Na aquisição dos Títulos Públicos Federais contabilizados pelos respectivos custos de aquisição, acrescidos dos rendimentos auferidos, 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bCs/>
          <w:sz w:val="16"/>
          <w:szCs w:val="16"/>
        </w:rPr>
        <w:t xml:space="preserve"> </w:t>
      </w:r>
      <w:r w:rsidRPr="00A92A3E">
        <w:rPr>
          <w:rFonts w:asciiTheme="minorHAnsi" w:hAnsiTheme="minorHAnsi" w:cstheme="minorHAnsi"/>
          <w:bCs/>
          <w:sz w:val="16"/>
          <w:szCs w:val="16"/>
        </w:rPr>
        <w:t>deverá cumprir cumulativamente as exigências da Portaria MTP n° 1.467/2021 sendo elas:</w:t>
      </w:r>
    </w:p>
    <w:p w14:paraId="45CA3F08" w14:textId="77777777" w:rsidR="00167BA3" w:rsidRPr="00A92A3E" w:rsidRDefault="00AD276C" w:rsidP="00F5523C">
      <w:pPr>
        <w:pStyle w:val="PargrafodaLista"/>
        <w:numPr>
          <w:ilvl w:val="0"/>
          <w:numId w:val="19"/>
        </w:numPr>
        <w:rPr>
          <w:rFonts w:asciiTheme="minorHAnsi" w:hAnsiTheme="minorHAnsi" w:cstheme="minorHAnsi"/>
          <w:bCs/>
          <w:sz w:val="16"/>
          <w:szCs w:val="16"/>
        </w:rPr>
      </w:pPr>
      <w:r w:rsidRPr="00A92A3E">
        <w:rPr>
          <w:rFonts w:asciiTheme="minorHAnsi" w:hAnsiTheme="minorHAnsi" w:cstheme="minorHAnsi"/>
          <w:bCs/>
          <w:sz w:val="16"/>
          <w:szCs w:val="16"/>
        </w:rPr>
        <w:t>s</w:t>
      </w:r>
      <w:r w:rsidR="00247DFC" w:rsidRPr="00A92A3E">
        <w:rPr>
          <w:rFonts w:asciiTheme="minorHAnsi" w:hAnsiTheme="minorHAnsi" w:cstheme="minorHAnsi"/>
          <w:bCs/>
          <w:sz w:val="16"/>
          <w:szCs w:val="16"/>
        </w:rPr>
        <w:t>eja observada a sua compatibilidade com os prazos e taxas das obrigações presentes e futuras</w:t>
      </w:r>
      <w:r w:rsidR="00167BA3" w:rsidRPr="00A92A3E">
        <w:rPr>
          <w:rFonts w:asciiTheme="minorHAnsi" w:hAnsiTheme="minorHAnsi" w:cstheme="minorHAnsi"/>
          <w:bCs/>
          <w:sz w:val="16"/>
          <w:szCs w:val="16"/>
        </w:rPr>
        <w:t>;</w:t>
      </w:r>
    </w:p>
    <w:p w14:paraId="1FC521CE" w14:textId="77777777" w:rsidR="00167BA3" w:rsidRPr="00A92A3E" w:rsidRDefault="00167BA3" w:rsidP="00167BA3">
      <w:pPr>
        <w:pStyle w:val="PargrafodaLista"/>
        <w:rPr>
          <w:rFonts w:asciiTheme="minorHAnsi" w:hAnsiTheme="minorHAnsi" w:cstheme="minorHAnsi"/>
          <w:bCs/>
          <w:sz w:val="16"/>
          <w:szCs w:val="16"/>
        </w:rPr>
      </w:pPr>
    </w:p>
    <w:p w14:paraId="2895FF28" w14:textId="77777777" w:rsidR="00167BA3" w:rsidRPr="00A92A3E" w:rsidRDefault="00AD276C" w:rsidP="00F5523C">
      <w:pPr>
        <w:pStyle w:val="PargrafodaLista"/>
        <w:numPr>
          <w:ilvl w:val="0"/>
          <w:numId w:val="19"/>
        </w:numPr>
        <w:rPr>
          <w:rFonts w:asciiTheme="minorHAnsi" w:hAnsiTheme="minorHAnsi" w:cstheme="minorHAnsi"/>
          <w:bCs/>
          <w:sz w:val="16"/>
          <w:szCs w:val="16"/>
        </w:rPr>
      </w:pPr>
      <w:r w:rsidRPr="00A92A3E">
        <w:rPr>
          <w:rFonts w:asciiTheme="minorHAnsi" w:hAnsiTheme="minorHAnsi" w:cstheme="minorHAnsi"/>
          <w:bCs/>
          <w:sz w:val="16"/>
          <w:szCs w:val="16"/>
        </w:rPr>
        <w:t>s</w:t>
      </w:r>
      <w:r w:rsidR="00247DFC" w:rsidRPr="00A92A3E">
        <w:rPr>
          <w:rFonts w:asciiTheme="minorHAnsi" w:hAnsiTheme="minorHAnsi" w:cstheme="minorHAnsi"/>
          <w:bCs/>
          <w:sz w:val="16"/>
          <w:szCs w:val="16"/>
        </w:rPr>
        <w:t>ejam classificados separadamente dos ativos para negociação, ou seja, daqueles adquiridos com o propósito de serem negociados, independentemente do prazo a decorrer da data da aquisição;</w:t>
      </w:r>
    </w:p>
    <w:p w14:paraId="1D6A777A" w14:textId="77777777" w:rsidR="00167BA3" w:rsidRPr="00A92A3E" w:rsidRDefault="00167BA3" w:rsidP="00167BA3">
      <w:pPr>
        <w:pStyle w:val="PargrafodaLista"/>
        <w:rPr>
          <w:rFonts w:asciiTheme="minorHAnsi" w:hAnsiTheme="minorHAnsi" w:cstheme="minorHAnsi"/>
          <w:bCs/>
          <w:sz w:val="16"/>
          <w:szCs w:val="16"/>
        </w:rPr>
      </w:pPr>
    </w:p>
    <w:p w14:paraId="6519EAFF" w14:textId="12D0602B" w:rsidR="00167BA3" w:rsidRPr="00A92A3E" w:rsidRDefault="00AD276C" w:rsidP="00F5523C">
      <w:pPr>
        <w:pStyle w:val="PargrafodaLista"/>
        <w:numPr>
          <w:ilvl w:val="0"/>
          <w:numId w:val="19"/>
        </w:numPr>
        <w:rPr>
          <w:rFonts w:asciiTheme="minorHAnsi" w:hAnsiTheme="minorHAnsi" w:cstheme="minorHAnsi"/>
          <w:bCs/>
          <w:sz w:val="16"/>
          <w:szCs w:val="16"/>
        </w:rPr>
      </w:pPr>
      <w:r w:rsidRPr="00A92A3E">
        <w:rPr>
          <w:rFonts w:asciiTheme="minorHAnsi" w:hAnsiTheme="minorHAnsi" w:cstheme="minorHAnsi"/>
          <w:bCs/>
          <w:sz w:val="16"/>
          <w:szCs w:val="16"/>
        </w:rPr>
        <w:t>s</w:t>
      </w:r>
      <w:r w:rsidR="00247DFC" w:rsidRPr="00A92A3E">
        <w:rPr>
          <w:rFonts w:asciiTheme="minorHAnsi" w:hAnsiTheme="minorHAnsi" w:cstheme="minorHAnsi"/>
          <w:bCs/>
          <w:sz w:val="16"/>
          <w:szCs w:val="16"/>
        </w:rPr>
        <w:t xml:space="preserve">eja comprovada a intenção e capacidade financeira do </w:t>
      </w:r>
      <w:r w:rsidR="00B53180">
        <w:rPr>
          <w:rStyle w:val="paragrafo"/>
          <w:rFonts w:asciiTheme="minorHAnsi" w:hAnsiTheme="minorHAnsi" w:cstheme="minorHAnsi"/>
          <w:b/>
          <w:bCs/>
          <w:sz w:val="16"/>
          <w:szCs w:val="16"/>
        </w:rPr>
        <w:t>FUNDO ESPECIAL DE PREVIDÊNCIA SOCIAL DE JAGUARIÚNA</w:t>
      </w:r>
      <w:r w:rsidR="00345F9B" w:rsidRPr="00A92A3E">
        <w:rPr>
          <w:rFonts w:asciiTheme="minorHAnsi" w:hAnsiTheme="minorHAnsi" w:cstheme="minorHAnsi"/>
          <w:bCs/>
          <w:sz w:val="16"/>
          <w:szCs w:val="16"/>
        </w:rPr>
        <w:t xml:space="preserve"> </w:t>
      </w:r>
      <w:r w:rsidR="00247DFC" w:rsidRPr="00A92A3E">
        <w:rPr>
          <w:rFonts w:asciiTheme="minorHAnsi" w:hAnsiTheme="minorHAnsi" w:cstheme="minorHAnsi"/>
          <w:bCs/>
          <w:sz w:val="16"/>
          <w:szCs w:val="16"/>
        </w:rPr>
        <w:t>de mantê-los em carteira até o vencimento; e</w:t>
      </w:r>
    </w:p>
    <w:p w14:paraId="2E592C2D" w14:textId="77777777" w:rsidR="00167BA3" w:rsidRPr="00A92A3E" w:rsidRDefault="00167BA3" w:rsidP="00167BA3">
      <w:pPr>
        <w:pStyle w:val="PargrafodaLista"/>
        <w:rPr>
          <w:rFonts w:asciiTheme="minorHAnsi" w:hAnsiTheme="minorHAnsi" w:cstheme="minorHAnsi"/>
          <w:bCs/>
          <w:sz w:val="16"/>
          <w:szCs w:val="16"/>
        </w:rPr>
      </w:pPr>
    </w:p>
    <w:p w14:paraId="1B674A86" w14:textId="4886593A" w:rsidR="00247DFC" w:rsidRPr="00A92A3E" w:rsidRDefault="00AD276C" w:rsidP="00F5523C">
      <w:pPr>
        <w:pStyle w:val="PargrafodaLista"/>
        <w:numPr>
          <w:ilvl w:val="0"/>
          <w:numId w:val="19"/>
        </w:numPr>
        <w:rPr>
          <w:rFonts w:asciiTheme="minorHAnsi" w:hAnsiTheme="minorHAnsi" w:cstheme="minorHAnsi"/>
          <w:bCs/>
          <w:sz w:val="16"/>
          <w:szCs w:val="16"/>
        </w:rPr>
      </w:pPr>
      <w:r w:rsidRPr="00A92A3E">
        <w:rPr>
          <w:rFonts w:asciiTheme="minorHAnsi" w:hAnsiTheme="minorHAnsi" w:cstheme="minorHAnsi"/>
          <w:bCs/>
          <w:sz w:val="16"/>
          <w:szCs w:val="16"/>
        </w:rPr>
        <w:t>s</w:t>
      </w:r>
      <w:r w:rsidR="00247DFC" w:rsidRPr="00A92A3E">
        <w:rPr>
          <w:rFonts w:asciiTheme="minorHAnsi" w:hAnsiTheme="minorHAnsi" w:cstheme="minorHAnsi"/>
          <w:bCs/>
          <w:sz w:val="16"/>
          <w:szCs w:val="16"/>
        </w:rPr>
        <w:t>ejam atendidas as normas de atuária e de contabilidade aplicáveis, inclusive no que se refere à obrigatoriedade de divulgação das informações relativas aos títulos adquiridos, ao impacto nos resultados e aos requisitos e procedimentos, na hipótese de alteração da forma de precificação dos títulos de emissão do Tesouro Nacional.</w:t>
      </w:r>
    </w:p>
    <w:p w14:paraId="34F190E3" w14:textId="57B5CF71"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Como a precificação na curva é dada pela apropriação natural de juros até a data de vencimento do título, as fórmulas variam de acordo com o tipo de papel, sendo:</w:t>
      </w:r>
    </w:p>
    <w:p w14:paraId="3250374C" w14:textId="77777777" w:rsidR="00500AE2" w:rsidRPr="00A92A3E" w:rsidRDefault="00500AE2" w:rsidP="00F5523C">
      <w:pPr>
        <w:pStyle w:val="PargrafodaLista"/>
        <w:numPr>
          <w:ilvl w:val="0"/>
          <w:numId w:val="15"/>
        </w:numPr>
        <w:rPr>
          <w:rFonts w:asciiTheme="minorHAnsi" w:hAnsiTheme="minorHAnsi" w:cstheme="minorHAnsi"/>
          <w:b/>
          <w:bCs/>
          <w:sz w:val="16"/>
          <w:szCs w:val="16"/>
        </w:rPr>
      </w:pPr>
      <w:r w:rsidRPr="00A92A3E">
        <w:rPr>
          <w:rFonts w:asciiTheme="minorHAnsi" w:hAnsiTheme="minorHAnsi" w:cstheme="minorHAnsi"/>
          <w:b/>
          <w:bCs/>
          <w:sz w:val="16"/>
          <w:szCs w:val="16"/>
        </w:rPr>
        <w:t>Tesouro IPCA – NTN-B</w:t>
      </w:r>
    </w:p>
    <w:p w14:paraId="4A66287D"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lastRenderedPageBreak/>
        <w:t>O Tesouro IPCA – NTN-B Principal possui fluxo de pagamento simples, ou seja, o investidor faz a aplicação e resgata o valor de face (valor investido somado à rentabilidade) na data de vencimento do título.</w:t>
      </w:r>
    </w:p>
    <w:p w14:paraId="4C2C20FF"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É um título pós-fixado cujo rendimento se dá por uma taxa definida mais a variação da taxa do Índice Nacional de Preço ao Consumidor Amplo em um determinado período.</w:t>
      </w:r>
    </w:p>
    <w:p w14:paraId="53FAAB74"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 Valor Nominal Atualizado é calculado através do VNA na data de compra do título e da projeção do IPCA para a data de liquidação, seguindo a equação:</w:t>
      </w:r>
    </w:p>
    <w:p w14:paraId="529072A8" w14:textId="77777777" w:rsidR="00500AE2" w:rsidRPr="00A92A3E" w:rsidRDefault="00500AE2" w:rsidP="00500AE2">
      <w:pPr>
        <w:rPr>
          <w:rFonts w:asciiTheme="minorHAnsi" w:eastAsiaTheme="minorEastAsia" w:hAnsiTheme="minorHAnsi" w:cstheme="minorHAnsi"/>
          <w:i/>
          <w:sz w:val="16"/>
          <w:szCs w:val="16"/>
        </w:rPr>
      </w:pPr>
      <m:oMathPara>
        <m:oMath>
          <m:r>
            <w:rPr>
              <w:rFonts w:ascii="Cambria Math" w:hAnsi="Cambria Math" w:cstheme="minorHAnsi"/>
              <w:sz w:val="16"/>
              <w:szCs w:val="16"/>
            </w:rPr>
            <m:t>VNA=</m:t>
          </m:r>
          <m:sSub>
            <m:sSubPr>
              <m:ctrlPr>
                <w:rPr>
                  <w:rFonts w:ascii="Cambria Math" w:hAnsi="Cambria Math" w:cstheme="minorHAnsi"/>
                  <w:i/>
                  <w:sz w:val="16"/>
                  <w:szCs w:val="16"/>
                </w:rPr>
              </m:ctrlPr>
            </m:sSubPr>
            <m:e>
              <m:r>
                <w:rPr>
                  <w:rFonts w:ascii="Cambria Math" w:hAnsi="Cambria Math" w:cstheme="minorHAnsi"/>
                  <w:sz w:val="16"/>
                  <w:szCs w:val="16"/>
                </w:rPr>
                <m:t>VNA</m:t>
              </m:r>
            </m:e>
            <m:sub>
              <m:r>
                <w:rPr>
                  <w:rFonts w:ascii="Cambria Math" w:hAnsi="Cambria Math" w:cstheme="minorHAnsi"/>
                  <w:sz w:val="16"/>
                  <w:szCs w:val="16"/>
                </w:rPr>
                <m:t>data de compra</m:t>
              </m:r>
            </m:sub>
          </m:sSub>
          <m:r>
            <w:rPr>
              <w:rFonts w:ascii="Cambria Math" w:hAnsi="Cambria Math" w:cstheme="minorHAnsi"/>
              <w:sz w:val="16"/>
              <w:szCs w:val="16"/>
            </w:rPr>
            <m:t>*</m:t>
          </m:r>
          <m:sSup>
            <m:sSupPr>
              <m:ctrlPr>
                <w:rPr>
                  <w:rFonts w:ascii="Cambria Math" w:hAnsi="Cambria Math" w:cstheme="minorHAnsi"/>
                  <w:i/>
                  <w:sz w:val="16"/>
                  <w:szCs w:val="16"/>
                </w:rPr>
              </m:ctrlPr>
            </m:sSupPr>
            <m:e>
              <m:d>
                <m:dPr>
                  <m:ctrlPr>
                    <w:rPr>
                      <w:rFonts w:ascii="Cambria Math" w:hAnsi="Cambria Math" w:cstheme="minorHAnsi"/>
                      <w:i/>
                      <w:sz w:val="16"/>
                      <w:szCs w:val="16"/>
                    </w:rPr>
                  </m:ctrlPr>
                </m:dPr>
                <m:e>
                  <m:r>
                    <w:rPr>
                      <w:rFonts w:ascii="Cambria Math" w:hAnsi="Cambria Math" w:cstheme="minorHAnsi"/>
                      <w:sz w:val="16"/>
                      <w:szCs w:val="16"/>
                    </w:rPr>
                    <m:t>1+</m:t>
                  </m:r>
                  <m:sSub>
                    <m:sSubPr>
                      <m:ctrlPr>
                        <w:rPr>
                          <w:rFonts w:ascii="Cambria Math" w:hAnsi="Cambria Math" w:cstheme="minorHAnsi"/>
                          <w:i/>
                          <w:sz w:val="16"/>
                          <w:szCs w:val="16"/>
                        </w:rPr>
                      </m:ctrlPr>
                    </m:sSubPr>
                    <m:e>
                      <m:r>
                        <w:rPr>
                          <w:rFonts w:ascii="Cambria Math" w:hAnsi="Cambria Math" w:cstheme="minorHAnsi"/>
                          <w:sz w:val="16"/>
                          <w:szCs w:val="16"/>
                        </w:rPr>
                        <m:t>IPCA</m:t>
                      </m:r>
                    </m:e>
                    <m:sub>
                      <m:r>
                        <w:rPr>
                          <w:rFonts w:ascii="Cambria Math" w:hAnsi="Cambria Math" w:cstheme="minorHAnsi"/>
                          <w:sz w:val="16"/>
                          <w:szCs w:val="16"/>
                        </w:rPr>
                        <m:t>projetado</m:t>
                      </m:r>
                    </m:sub>
                  </m:sSub>
                </m:e>
              </m:d>
            </m:e>
            <m:sup>
              <m:r>
                <w:rPr>
                  <w:rFonts w:ascii="Cambria Math" w:hAnsi="Cambria Math" w:cstheme="minorHAnsi"/>
                  <w:sz w:val="16"/>
                  <w:szCs w:val="16"/>
                </w:rPr>
                <m:t>1/252</m:t>
              </m:r>
            </m:sup>
          </m:sSup>
        </m:oMath>
      </m:oMathPara>
    </w:p>
    <w:p w14:paraId="0A8B77FE"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Onde:</w:t>
      </w:r>
    </w:p>
    <w:p w14:paraId="23870066" w14:textId="77777777" w:rsidR="00500AE2" w:rsidRPr="00A92A3E" w:rsidRDefault="00500AE2" w:rsidP="00500AE2">
      <w:pPr>
        <w:spacing w:after="0"/>
        <w:ind w:left="1134"/>
        <w:rPr>
          <w:rFonts w:asciiTheme="minorHAnsi" w:eastAsiaTheme="minorEastAsia" w:hAnsiTheme="minorHAnsi" w:cstheme="minorHAnsi"/>
          <w:sz w:val="16"/>
          <w:szCs w:val="16"/>
        </w:rPr>
      </w:pPr>
      <m:oMath>
        <m:r>
          <w:rPr>
            <w:rFonts w:ascii="Cambria Math" w:hAnsi="Cambria Math" w:cstheme="minorHAnsi"/>
            <w:sz w:val="16"/>
            <w:szCs w:val="16"/>
          </w:rPr>
          <m:t>VNA</m:t>
        </m:r>
      </m:oMath>
      <w:r w:rsidRPr="00A92A3E">
        <w:rPr>
          <w:rFonts w:asciiTheme="minorHAnsi" w:eastAsiaTheme="minorEastAsia" w:hAnsiTheme="minorHAnsi" w:cstheme="minorHAnsi"/>
          <w:sz w:val="16"/>
          <w:szCs w:val="16"/>
        </w:rPr>
        <w:t xml:space="preserve"> = Valor Nominal Atualizado</w:t>
      </w:r>
    </w:p>
    <w:p w14:paraId="0D271A95" w14:textId="77777777" w:rsidR="00500AE2" w:rsidRPr="00A92A3E" w:rsidRDefault="00F345CA" w:rsidP="00500AE2">
      <w:pPr>
        <w:spacing w:after="0"/>
        <w:ind w:left="1134"/>
        <w:rPr>
          <w:rFonts w:asciiTheme="minorHAnsi" w:eastAsiaTheme="minorEastAsia" w:hAnsiTheme="minorHAnsi" w:cstheme="minorHAnsi"/>
          <w:sz w:val="16"/>
          <w:szCs w:val="16"/>
        </w:rPr>
      </w:pPr>
      <m:oMath>
        <m:sSub>
          <m:sSubPr>
            <m:ctrlPr>
              <w:rPr>
                <w:rFonts w:ascii="Cambria Math" w:hAnsi="Cambria Math" w:cstheme="minorHAnsi"/>
                <w:i/>
                <w:sz w:val="16"/>
                <w:szCs w:val="16"/>
              </w:rPr>
            </m:ctrlPr>
          </m:sSubPr>
          <m:e>
            <m:r>
              <w:rPr>
                <w:rFonts w:ascii="Cambria Math" w:hAnsi="Cambria Math" w:cstheme="minorHAnsi"/>
                <w:sz w:val="16"/>
                <w:szCs w:val="16"/>
              </w:rPr>
              <m:t>VNA</m:t>
            </m:r>
          </m:e>
          <m:sub>
            <m:r>
              <w:rPr>
                <w:rFonts w:ascii="Cambria Math" w:hAnsi="Cambria Math" w:cstheme="minorHAnsi"/>
                <w:sz w:val="16"/>
                <w:szCs w:val="16"/>
              </w:rPr>
              <m:t>data de compra</m:t>
            </m:r>
          </m:sub>
        </m:sSub>
      </m:oMath>
      <w:r w:rsidR="00500AE2" w:rsidRPr="00A92A3E">
        <w:rPr>
          <w:rFonts w:asciiTheme="minorHAnsi" w:eastAsiaTheme="minorEastAsia" w:hAnsiTheme="minorHAnsi" w:cstheme="minorHAnsi"/>
          <w:sz w:val="16"/>
          <w:szCs w:val="16"/>
        </w:rPr>
        <w:t xml:space="preserve"> = Valor Nominal Atualizado na data da compra</w:t>
      </w:r>
    </w:p>
    <w:p w14:paraId="30336B38" w14:textId="77777777" w:rsidR="00500AE2" w:rsidRPr="00A92A3E" w:rsidRDefault="00F345CA" w:rsidP="00500AE2">
      <w:pPr>
        <w:ind w:left="1134"/>
        <w:rPr>
          <w:rFonts w:asciiTheme="minorHAnsi" w:hAnsiTheme="minorHAnsi" w:cstheme="minorHAnsi"/>
          <w:sz w:val="16"/>
          <w:szCs w:val="16"/>
        </w:rPr>
      </w:pPr>
      <m:oMath>
        <m:sSub>
          <m:sSubPr>
            <m:ctrlPr>
              <w:rPr>
                <w:rFonts w:ascii="Cambria Math" w:hAnsi="Cambria Math" w:cstheme="minorHAnsi"/>
                <w:i/>
                <w:sz w:val="16"/>
                <w:szCs w:val="16"/>
              </w:rPr>
            </m:ctrlPr>
          </m:sSubPr>
          <m:e>
            <m:r>
              <w:rPr>
                <w:rFonts w:ascii="Cambria Math" w:hAnsi="Cambria Math" w:cstheme="minorHAnsi"/>
                <w:sz w:val="16"/>
                <w:szCs w:val="16"/>
              </w:rPr>
              <m:t>IPCA</m:t>
            </m:r>
          </m:e>
          <m:sub>
            <m:r>
              <w:rPr>
                <w:rFonts w:ascii="Cambria Math" w:hAnsi="Cambria Math" w:cstheme="minorHAnsi"/>
                <w:sz w:val="16"/>
                <w:szCs w:val="16"/>
              </w:rPr>
              <m:t>projetado</m:t>
            </m:r>
          </m:sub>
        </m:sSub>
      </m:oMath>
      <w:r w:rsidR="00500AE2" w:rsidRPr="00A92A3E">
        <w:rPr>
          <w:rFonts w:asciiTheme="minorHAnsi" w:eastAsiaTheme="minorEastAsia" w:hAnsiTheme="minorHAnsi" w:cstheme="minorHAnsi"/>
          <w:sz w:val="16"/>
          <w:szCs w:val="16"/>
        </w:rPr>
        <w:t xml:space="preserve"> = Inflação projetada para o final do exercício</w:t>
      </w:r>
    </w:p>
    <w:p w14:paraId="3FA519D0"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 rendimento da aplicação é recebido pelo investidor ao longo do investimento, por meio do pagamento de juros semestrais e na data de vencimento com resgate do valor de face somado ao último cupom de juros.</w:t>
      </w:r>
    </w:p>
    <w:p w14:paraId="42F2AD59" w14:textId="77777777" w:rsidR="00875FB1" w:rsidRPr="00A92A3E" w:rsidRDefault="00875FB1" w:rsidP="00500AE2">
      <w:pPr>
        <w:rPr>
          <w:rFonts w:asciiTheme="minorHAnsi" w:hAnsiTheme="minorHAnsi" w:cstheme="minorHAnsi"/>
          <w:sz w:val="16"/>
          <w:szCs w:val="16"/>
        </w:rPr>
      </w:pPr>
    </w:p>
    <w:p w14:paraId="3BDC0B91" w14:textId="77777777" w:rsidR="00500AE2" w:rsidRPr="00A92A3E" w:rsidRDefault="00500AE2" w:rsidP="00F5523C">
      <w:pPr>
        <w:pStyle w:val="PargrafodaLista"/>
        <w:numPr>
          <w:ilvl w:val="0"/>
          <w:numId w:val="15"/>
        </w:numPr>
        <w:rPr>
          <w:rFonts w:asciiTheme="minorHAnsi" w:hAnsiTheme="minorHAnsi" w:cstheme="minorHAnsi"/>
          <w:b/>
          <w:bCs/>
          <w:sz w:val="16"/>
          <w:szCs w:val="16"/>
        </w:rPr>
      </w:pPr>
      <w:r w:rsidRPr="00A92A3E">
        <w:rPr>
          <w:rFonts w:asciiTheme="minorHAnsi" w:hAnsiTheme="minorHAnsi" w:cstheme="minorHAnsi"/>
          <w:b/>
          <w:bCs/>
          <w:sz w:val="16"/>
          <w:szCs w:val="16"/>
        </w:rPr>
        <w:t>Tesouro SELIC – LFT</w:t>
      </w:r>
    </w:p>
    <w:p w14:paraId="03B48CB3"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 Tesouro SELIC – LFT possui fluxo de pagamento simples pós-fixado pela variação da taxa SELIC.</w:t>
      </w:r>
    </w:p>
    <w:p w14:paraId="40866C65"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 valor projetado a ser pago pelo título, é o valor na data base, corrigido pela taxa acumulada da SELIC até o dia de compra, mais uma correção da taxa SELIC meta para dia da liquidação do título. Sendo seu cálculo:</w:t>
      </w:r>
    </w:p>
    <w:p w14:paraId="7FF92F76" w14:textId="77777777" w:rsidR="00500AE2" w:rsidRPr="00A92A3E" w:rsidRDefault="00500AE2" w:rsidP="00500AE2">
      <w:pPr>
        <w:rPr>
          <w:rFonts w:asciiTheme="minorHAnsi" w:eastAsiaTheme="minorEastAsia" w:hAnsiTheme="minorHAnsi" w:cstheme="minorHAnsi"/>
          <w:i/>
          <w:sz w:val="16"/>
          <w:szCs w:val="16"/>
        </w:rPr>
      </w:pPr>
      <m:oMathPara>
        <m:oMath>
          <m:r>
            <w:rPr>
              <w:rFonts w:ascii="Cambria Math" w:hAnsi="Cambria Math" w:cstheme="minorHAnsi"/>
              <w:sz w:val="16"/>
              <w:szCs w:val="16"/>
            </w:rPr>
            <m:t>VNA=</m:t>
          </m:r>
          <m:sSub>
            <m:sSubPr>
              <m:ctrlPr>
                <w:rPr>
                  <w:rFonts w:ascii="Cambria Math" w:hAnsi="Cambria Math" w:cstheme="minorHAnsi"/>
                  <w:i/>
                  <w:sz w:val="16"/>
                  <w:szCs w:val="16"/>
                </w:rPr>
              </m:ctrlPr>
            </m:sSubPr>
            <m:e>
              <m:r>
                <w:rPr>
                  <w:rFonts w:ascii="Cambria Math" w:hAnsi="Cambria Math" w:cstheme="minorHAnsi"/>
                  <w:sz w:val="16"/>
                  <w:szCs w:val="16"/>
                </w:rPr>
                <m:t>VNA</m:t>
              </m:r>
            </m:e>
            <m:sub>
              <m:r>
                <w:rPr>
                  <w:rFonts w:ascii="Cambria Math" w:hAnsi="Cambria Math" w:cstheme="minorHAnsi"/>
                  <w:sz w:val="16"/>
                  <w:szCs w:val="16"/>
                </w:rPr>
                <m:t>data de compra</m:t>
              </m:r>
            </m:sub>
          </m:sSub>
          <m:r>
            <w:rPr>
              <w:rFonts w:ascii="Cambria Math" w:hAnsi="Cambria Math" w:cstheme="minorHAnsi"/>
              <w:sz w:val="16"/>
              <w:szCs w:val="16"/>
            </w:rPr>
            <m:t>*</m:t>
          </m:r>
          <m:sSup>
            <m:sSupPr>
              <m:ctrlPr>
                <w:rPr>
                  <w:rFonts w:ascii="Cambria Math" w:hAnsi="Cambria Math" w:cstheme="minorHAnsi"/>
                  <w:i/>
                  <w:sz w:val="16"/>
                  <w:szCs w:val="16"/>
                </w:rPr>
              </m:ctrlPr>
            </m:sSupPr>
            <m:e>
              <m:d>
                <m:dPr>
                  <m:ctrlPr>
                    <w:rPr>
                      <w:rFonts w:ascii="Cambria Math" w:hAnsi="Cambria Math" w:cstheme="minorHAnsi"/>
                      <w:i/>
                      <w:sz w:val="16"/>
                      <w:szCs w:val="16"/>
                    </w:rPr>
                  </m:ctrlPr>
                </m:dPr>
                <m:e>
                  <m:r>
                    <w:rPr>
                      <w:rFonts w:ascii="Cambria Math" w:hAnsi="Cambria Math" w:cstheme="minorHAnsi"/>
                      <w:sz w:val="16"/>
                      <w:szCs w:val="16"/>
                    </w:rPr>
                    <m:t>1+</m:t>
                  </m:r>
                  <m:sSub>
                    <m:sSubPr>
                      <m:ctrlPr>
                        <w:rPr>
                          <w:rFonts w:ascii="Cambria Math" w:hAnsi="Cambria Math" w:cstheme="minorHAnsi"/>
                          <w:i/>
                          <w:sz w:val="16"/>
                          <w:szCs w:val="16"/>
                        </w:rPr>
                      </m:ctrlPr>
                    </m:sSubPr>
                    <m:e>
                      <m:r>
                        <w:rPr>
                          <w:rFonts w:ascii="Cambria Math" w:hAnsi="Cambria Math" w:cstheme="minorHAnsi"/>
                          <w:sz w:val="16"/>
                          <w:szCs w:val="16"/>
                        </w:rPr>
                        <m:t>SELIC</m:t>
                      </m:r>
                    </m:e>
                    <m:sub>
                      <m:r>
                        <w:rPr>
                          <w:rFonts w:ascii="Cambria Math" w:hAnsi="Cambria Math" w:cstheme="minorHAnsi"/>
                          <w:sz w:val="16"/>
                          <w:szCs w:val="16"/>
                        </w:rPr>
                        <m:t>meta</m:t>
                      </m:r>
                    </m:sub>
                  </m:sSub>
                </m:e>
              </m:d>
            </m:e>
            <m:sup>
              <m:r>
                <w:rPr>
                  <w:rFonts w:ascii="Cambria Math" w:hAnsi="Cambria Math" w:cstheme="minorHAnsi"/>
                  <w:sz w:val="16"/>
                  <w:szCs w:val="16"/>
                </w:rPr>
                <m:t>1/252</m:t>
              </m:r>
            </m:sup>
          </m:sSup>
        </m:oMath>
      </m:oMathPara>
    </w:p>
    <w:p w14:paraId="056E4AF7"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Onde:</w:t>
      </w:r>
    </w:p>
    <w:p w14:paraId="733E8D97" w14:textId="77777777" w:rsidR="00500AE2" w:rsidRPr="00A92A3E" w:rsidRDefault="00500AE2" w:rsidP="00500AE2">
      <w:pPr>
        <w:spacing w:after="0"/>
        <w:ind w:left="1134"/>
        <w:rPr>
          <w:rFonts w:asciiTheme="minorHAnsi" w:eastAsiaTheme="minorEastAsia" w:hAnsiTheme="minorHAnsi" w:cstheme="minorHAnsi"/>
          <w:sz w:val="16"/>
          <w:szCs w:val="16"/>
        </w:rPr>
      </w:pPr>
      <m:oMath>
        <m:r>
          <w:rPr>
            <w:rFonts w:ascii="Cambria Math" w:hAnsi="Cambria Math" w:cstheme="minorHAnsi"/>
            <w:sz w:val="16"/>
            <w:szCs w:val="16"/>
          </w:rPr>
          <m:t>VNA</m:t>
        </m:r>
      </m:oMath>
      <w:r w:rsidRPr="00A92A3E">
        <w:rPr>
          <w:rFonts w:asciiTheme="minorHAnsi" w:eastAsiaTheme="minorEastAsia" w:hAnsiTheme="minorHAnsi" w:cstheme="minorHAnsi"/>
          <w:sz w:val="16"/>
          <w:szCs w:val="16"/>
        </w:rPr>
        <w:t xml:space="preserve"> = Valor Nominal Atualizado</w:t>
      </w:r>
    </w:p>
    <w:p w14:paraId="41CACBF9" w14:textId="77777777" w:rsidR="00500AE2" w:rsidRPr="00A92A3E" w:rsidRDefault="00F345CA" w:rsidP="00500AE2">
      <w:pPr>
        <w:spacing w:after="0"/>
        <w:ind w:left="1134"/>
        <w:rPr>
          <w:rFonts w:asciiTheme="minorHAnsi" w:eastAsiaTheme="minorEastAsia" w:hAnsiTheme="minorHAnsi" w:cstheme="minorHAnsi"/>
          <w:sz w:val="16"/>
          <w:szCs w:val="16"/>
        </w:rPr>
      </w:pPr>
      <m:oMath>
        <m:sSub>
          <m:sSubPr>
            <m:ctrlPr>
              <w:rPr>
                <w:rFonts w:ascii="Cambria Math" w:hAnsi="Cambria Math" w:cstheme="minorHAnsi"/>
                <w:i/>
                <w:sz w:val="16"/>
                <w:szCs w:val="16"/>
              </w:rPr>
            </m:ctrlPr>
          </m:sSubPr>
          <m:e>
            <m:r>
              <w:rPr>
                <w:rFonts w:ascii="Cambria Math" w:hAnsi="Cambria Math" w:cstheme="minorHAnsi"/>
                <w:sz w:val="16"/>
                <w:szCs w:val="16"/>
              </w:rPr>
              <m:t>VNA</m:t>
            </m:r>
          </m:e>
          <m:sub>
            <m:r>
              <w:rPr>
                <w:rFonts w:ascii="Cambria Math" w:hAnsi="Cambria Math" w:cstheme="minorHAnsi"/>
                <w:sz w:val="16"/>
                <w:szCs w:val="16"/>
              </w:rPr>
              <m:t>data de compra</m:t>
            </m:r>
          </m:sub>
        </m:sSub>
      </m:oMath>
      <w:r w:rsidR="00500AE2" w:rsidRPr="00A92A3E">
        <w:rPr>
          <w:rFonts w:asciiTheme="minorHAnsi" w:eastAsiaTheme="minorEastAsia" w:hAnsiTheme="minorHAnsi" w:cstheme="minorHAnsi"/>
          <w:sz w:val="16"/>
          <w:szCs w:val="16"/>
        </w:rPr>
        <w:t xml:space="preserve"> = Valor Nominal Atualizado na data da compra</w:t>
      </w:r>
    </w:p>
    <w:p w14:paraId="1BFFDB83" w14:textId="77777777" w:rsidR="00500AE2" w:rsidRPr="00A92A3E" w:rsidRDefault="00F345CA" w:rsidP="00500AE2">
      <w:pPr>
        <w:ind w:left="1134"/>
        <w:rPr>
          <w:rFonts w:asciiTheme="minorHAnsi" w:eastAsiaTheme="minorEastAsia" w:hAnsiTheme="minorHAnsi" w:cstheme="minorHAnsi"/>
          <w:sz w:val="16"/>
          <w:szCs w:val="16"/>
        </w:rPr>
      </w:pPr>
      <m:oMath>
        <m:sSub>
          <m:sSubPr>
            <m:ctrlPr>
              <w:rPr>
                <w:rFonts w:ascii="Cambria Math" w:hAnsi="Cambria Math" w:cstheme="minorHAnsi"/>
                <w:i/>
                <w:sz w:val="16"/>
                <w:szCs w:val="16"/>
              </w:rPr>
            </m:ctrlPr>
          </m:sSubPr>
          <m:e>
            <m:r>
              <w:rPr>
                <w:rFonts w:ascii="Cambria Math" w:hAnsi="Cambria Math" w:cstheme="minorHAnsi"/>
                <w:sz w:val="16"/>
                <w:szCs w:val="16"/>
              </w:rPr>
              <m:t>SELIC</m:t>
            </m:r>
          </m:e>
          <m:sub>
            <m:r>
              <w:rPr>
                <w:rFonts w:ascii="Cambria Math" w:hAnsi="Cambria Math" w:cstheme="minorHAnsi"/>
                <w:sz w:val="16"/>
                <w:szCs w:val="16"/>
              </w:rPr>
              <m:t>meta</m:t>
            </m:r>
          </m:sub>
        </m:sSub>
      </m:oMath>
      <w:r w:rsidR="00500AE2" w:rsidRPr="00A92A3E">
        <w:rPr>
          <w:rFonts w:asciiTheme="minorHAnsi" w:eastAsiaTheme="minorEastAsia" w:hAnsiTheme="minorHAnsi" w:cstheme="minorHAnsi"/>
          <w:sz w:val="16"/>
          <w:szCs w:val="16"/>
        </w:rPr>
        <w:t xml:space="preserve"> = Inflação atualizada</w:t>
      </w:r>
    </w:p>
    <w:p w14:paraId="1ED58943" w14:textId="77777777" w:rsidR="00875FB1" w:rsidRPr="00A92A3E" w:rsidRDefault="00875FB1" w:rsidP="00875FB1">
      <w:pPr>
        <w:rPr>
          <w:rFonts w:asciiTheme="minorHAnsi" w:hAnsiTheme="minorHAnsi" w:cstheme="minorHAnsi"/>
          <w:sz w:val="16"/>
          <w:szCs w:val="16"/>
        </w:rPr>
      </w:pPr>
    </w:p>
    <w:p w14:paraId="4194F214" w14:textId="5D1C30AE" w:rsidR="00500AE2" w:rsidRPr="00A92A3E" w:rsidRDefault="00500AE2" w:rsidP="00F5523C">
      <w:pPr>
        <w:pStyle w:val="PargrafodaLista"/>
        <w:numPr>
          <w:ilvl w:val="0"/>
          <w:numId w:val="15"/>
        </w:numPr>
        <w:rPr>
          <w:rFonts w:asciiTheme="minorHAnsi" w:hAnsiTheme="minorHAnsi" w:cstheme="minorHAnsi"/>
          <w:b/>
          <w:bCs/>
          <w:sz w:val="16"/>
          <w:szCs w:val="16"/>
        </w:rPr>
      </w:pPr>
      <w:r w:rsidRPr="00A92A3E">
        <w:rPr>
          <w:rFonts w:asciiTheme="minorHAnsi" w:hAnsiTheme="minorHAnsi" w:cstheme="minorHAnsi"/>
          <w:b/>
          <w:bCs/>
          <w:sz w:val="16"/>
          <w:szCs w:val="16"/>
        </w:rPr>
        <w:t>Tesouro Prefixado – LTN</w:t>
      </w:r>
    </w:p>
    <w:p w14:paraId="0A17B9AB"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A LTN é um título prefixado, ou seja, sua rentabilidade é definida no momento da compra, que não faz pagamentos semestrais. A rentabilidade é calculada pela diferença entre o preço de compra do título e seu valor nominal no vencimento, R$ 1.000,00.</w:t>
      </w:r>
    </w:p>
    <w:p w14:paraId="4B3A84C6"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A partir da diferença entre o preço de compra e o de venda, é possível determinar a taxa de rendimento. Essa taxa pode ser calculada de duas formas:</w:t>
      </w:r>
    </w:p>
    <w:p w14:paraId="1F048DDA" w14:textId="77777777" w:rsidR="00500AE2" w:rsidRPr="00A92A3E" w:rsidRDefault="00500AE2" w:rsidP="00500AE2">
      <w:pPr>
        <w:rPr>
          <w:rFonts w:asciiTheme="minorHAnsi" w:eastAsiaTheme="minorEastAsia" w:hAnsiTheme="minorHAnsi" w:cstheme="minorHAnsi"/>
          <w:sz w:val="16"/>
          <w:szCs w:val="16"/>
        </w:rPr>
      </w:pPr>
      <m:oMathPara>
        <m:oMath>
          <m:r>
            <w:rPr>
              <w:rFonts w:ascii="Cambria Math" w:hAnsi="Cambria Math" w:cstheme="minorHAnsi"/>
              <w:sz w:val="16"/>
              <w:szCs w:val="16"/>
            </w:rPr>
            <m:t xml:space="preserve">Taxa Efetiva no Período= </m:t>
          </m:r>
          <m:d>
            <m:dPr>
              <m:begChr m:val="["/>
              <m:endChr m:val="]"/>
              <m:ctrlPr>
                <w:rPr>
                  <w:rFonts w:ascii="Cambria Math" w:hAnsi="Cambria Math" w:cstheme="minorHAnsi"/>
                  <w:i/>
                  <w:sz w:val="16"/>
                  <w:szCs w:val="16"/>
                </w:rPr>
              </m:ctrlPr>
            </m:dPr>
            <m:e>
              <m:f>
                <m:fPr>
                  <m:ctrlPr>
                    <w:rPr>
                      <w:rFonts w:ascii="Cambria Math" w:hAnsi="Cambria Math" w:cstheme="minorHAnsi"/>
                      <w:i/>
                      <w:sz w:val="16"/>
                      <w:szCs w:val="16"/>
                    </w:rPr>
                  </m:ctrlPr>
                </m:fPr>
                <m:num>
                  <m:r>
                    <w:rPr>
                      <w:rFonts w:ascii="Cambria Math" w:hAnsi="Cambria Math" w:cstheme="minorHAnsi"/>
                      <w:sz w:val="16"/>
                      <w:szCs w:val="16"/>
                    </w:rPr>
                    <m:t>Valor de Venda</m:t>
                  </m:r>
                </m:num>
                <m:den>
                  <m:r>
                    <w:rPr>
                      <w:rFonts w:ascii="Cambria Math" w:hAnsi="Cambria Math" w:cstheme="minorHAnsi"/>
                      <w:sz w:val="16"/>
                      <w:szCs w:val="16"/>
                    </w:rPr>
                    <m:t>Valor de Compra</m:t>
                  </m:r>
                </m:den>
              </m:f>
              <m:r>
                <w:rPr>
                  <w:rFonts w:ascii="Cambria Math" w:hAnsi="Cambria Math" w:cstheme="minorHAnsi"/>
                  <w:sz w:val="16"/>
                  <w:szCs w:val="16"/>
                </w:rPr>
                <m:t>-1</m:t>
              </m:r>
            </m:e>
          </m:d>
          <m:r>
            <w:rPr>
              <w:rFonts w:ascii="Cambria Math" w:hAnsi="Cambria Math" w:cstheme="minorHAnsi"/>
              <w:sz w:val="16"/>
              <w:szCs w:val="16"/>
            </w:rPr>
            <m:t>*100</m:t>
          </m:r>
        </m:oMath>
      </m:oMathPara>
    </w:p>
    <w:p w14:paraId="0CC2A995" w14:textId="77777777" w:rsidR="00500AE2" w:rsidRPr="00A92A3E" w:rsidRDefault="00500AE2" w:rsidP="00500AE2">
      <w:pPr>
        <w:rPr>
          <w:rFonts w:asciiTheme="minorHAnsi" w:eastAsiaTheme="minorEastAsia" w:hAnsiTheme="minorHAnsi" w:cstheme="minorHAnsi"/>
          <w:sz w:val="16"/>
          <w:szCs w:val="16"/>
        </w:rPr>
      </w:pPr>
      <w:r w:rsidRPr="00A92A3E">
        <w:rPr>
          <w:rFonts w:asciiTheme="minorHAnsi" w:eastAsiaTheme="minorEastAsia" w:hAnsiTheme="minorHAnsi" w:cstheme="minorHAnsi"/>
          <w:sz w:val="16"/>
          <w:szCs w:val="16"/>
        </w:rPr>
        <w:t>Onde:</w:t>
      </w:r>
    </w:p>
    <w:p w14:paraId="22F07440" w14:textId="77777777" w:rsidR="00500AE2" w:rsidRPr="00A92A3E" w:rsidRDefault="00500AE2" w:rsidP="00500AE2">
      <w:pPr>
        <w:spacing w:after="0"/>
        <w:ind w:left="1134"/>
        <w:rPr>
          <w:rFonts w:asciiTheme="minorHAnsi" w:eastAsiaTheme="minorEastAsia" w:hAnsiTheme="minorHAnsi" w:cstheme="minorHAnsi"/>
          <w:sz w:val="16"/>
          <w:szCs w:val="16"/>
        </w:rPr>
      </w:pPr>
      <m:oMath>
        <m:r>
          <w:rPr>
            <w:rFonts w:ascii="Cambria Math" w:hAnsi="Cambria Math" w:cstheme="minorHAnsi"/>
            <w:sz w:val="16"/>
            <w:szCs w:val="16"/>
          </w:rPr>
          <m:t>Taxa Efetiva no Período</m:t>
        </m:r>
      </m:oMath>
      <w:r w:rsidRPr="00A92A3E">
        <w:rPr>
          <w:rFonts w:asciiTheme="minorHAnsi" w:eastAsiaTheme="minorEastAsia" w:hAnsiTheme="minorHAnsi" w:cstheme="minorHAnsi"/>
          <w:sz w:val="16"/>
          <w:szCs w:val="16"/>
        </w:rPr>
        <w:t xml:space="preserve"> = Taxa negociada no momento da compra</w:t>
      </w:r>
    </w:p>
    <w:p w14:paraId="7DA87AC9" w14:textId="77777777" w:rsidR="00500AE2" w:rsidRPr="00A92A3E" w:rsidRDefault="00500AE2" w:rsidP="00500AE2">
      <w:pPr>
        <w:spacing w:after="0"/>
        <w:ind w:left="1134"/>
        <w:rPr>
          <w:rFonts w:asciiTheme="minorHAnsi" w:eastAsiaTheme="minorEastAsia" w:hAnsiTheme="minorHAnsi" w:cstheme="minorHAnsi"/>
          <w:sz w:val="16"/>
          <w:szCs w:val="16"/>
        </w:rPr>
      </w:pPr>
      <m:oMath>
        <m:r>
          <w:rPr>
            <w:rFonts w:ascii="Cambria Math" w:eastAsiaTheme="minorEastAsia" w:hAnsi="Cambria Math" w:cstheme="minorHAnsi"/>
            <w:sz w:val="16"/>
            <w:szCs w:val="16"/>
          </w:rPr>
          <m:t>Valor de Venda</m:t>
        </m:r>
      </m:oMath>
      <w:r w:rsidRPr="00A92A3E">
        <w:rPr>
          <w:rFonts w:asciiTheme="minorHAnsi" w:eastAsiaTheme="minorEastAsia" w:hAnsiTheme="minorHAnsi" w:cstheme="minorHAnsi"/>
          <w:sz w:val="16"/>
          <w:szCs w:val="16"/>
        </w:rPr>
        <w:t xml:space="preserve"> = Valor de negociação do Título Público na data final</w:t>
      </w:r>
    </w:p>
    <w:p w14:paraId="437B726C" w14:textId="77777777" w:rsidR="00500AE2" w:rsidRPr="00A92A3E" w:rsidRDefault="00500AE2" w:rsidP="00500AE2">
      <w:pPr>
        <w:ind w:left="1134"/>
        <w:rPr>
          <w:rFonts w:asciiTheme="minorHAnsi" w:eastAsiaTheme="minorEastAsia" w:hAnsiTheme="minorHAnsi" w:cstheme="minorHAnsi"/>
          <w:sz w:val="16"/>
          <w:szCs w:val="16"/>
        </w:rPr>
      </w:pPr>
      <m:oMath>
        <m:r>
          <w:rPr>
            <w:rFonts w:ascii="Cambria Math" w:eastAsiaTheme="minorEastAsia" w:hAnsi="Cambria Math" w:cstheme="minorHAnsi"/>
            <w:sz w:val="16"/>
            <w:szCs w:val="16"/>
          </w:rPr>
          <m:t>Valor de Compra</m:t>
        </m:r>
      </m:oMath>
      <w:r w:rsidRPr="00A92A3E">
        <w:rPr>
          <w:rFonts w:asciiTheme="minorHAnsi" w:eastAsiaTheme="minorEastAsia" w:hAnsiTheme="minorHAnsi" w:cstheme="minorHAnsi"/>
          <w:sz w:val="16"/>
          <w:szCs w:val="16"/>
        </w:rPr>
        <w:t xml:space="preserve"> = Valor de negociação do Título na aquisição</w:t>
      </w:r>
    </w:p>
    <w:p w14:paraId="71E16762"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Ou, tendo como base um ano de 252 dias úteis:</w:t>
      </w:r>
    </w:p>
    <w:p w14:paraId="6F4805BF" w14:textId="77777777" w:rsidR="00500AE2" w:rsidRPr="00A92A3E" w:rsidRDefault="00500AE2" w:rsidP="00500AE2">
      <w:pPr>
        <w:rPr>
          <w:rFonts w:asciiTheme="minorHAnsi" w:eastAsiaTheme="minorEastAsia" w:hAnsiTheme="minorHAnsi" w:cstheme="minorHAnsi"/>
          <w:sz w:val="16"/>
          <w:szCs w:val="16"/>
        </w:rPr>
      </w:pPr>
      <m:oMathPara>
        <m:oMath>
          <m:r>
            <w:rPr>
              <w:rFonts w:ascii="Cambria Math" w:hAnsi="Cambria Math" w:cstheme="minorHAnsi"/>
              <w:sz w:val="16"/>
              <w:szCs w:val="16"/>
            </w:rPr>
            <m:t xml:space="preserve">Taxa Efetiva no Período= </m:t>
          </m:r>
          <m:d>
            <m:dPr>
              <m:begChr m:val="["/>
              <m:endChr m:val="]"/>
              <m:ctrlPr>
                <w:rPr>
                  <w:rFonts w:ascii="Cambria Math" w:hAnsi="Cambria Math" w:cstheme="minorHAnsi"/>
                  <w:i/>
                  <w:sz w:val="16"/>
                  <w:szCs w:val="16"/>
                </w:rPr>
              </m:ctrlPr>
            </m:dPr>
            <m:e>
              <m:sSup>
                <m:sSupPr>
                  <m:ctrlPr>
                    <w:rPr>
                      <w:rFonts w:ascii="Cambria Math" w:hAnsi="Cambria Math" w:cstheme="minorHAnsi"/>
                      <w:i/>
                      <w:sz w:val="16"/>
                      <w:szCs w:val="16"/>
                    </w:rPr>
                  </m:ctrlPr>
                </m:sSupPr>
                <m:e>
                  <m:d>
                    <m:dPr>
                      <m:ctrlPr>
                        <w:rPr>
                          <w:rFonts w:ascii="Cambria Math" w:hAnsi="Cambria Math" w:cstheme="minorHAnsi"/>
                          <w:i/>
                          <w:sz w:val="16"/>
                          <w:szCs w:val="16"/>
                        </w:rPr>
                      </m:ctrlPr>
                    </m:dPr>
                    <m:e>
                      <m:f>
                        <m:fPr>
                          <m:ctrlPr>
                            <w:rPr>
                              <w:rFonts w:ascii="Cambria Math" w:hAnsi="Cambria Math" w:cstheme="minorHAnsi"/>
                              <w:i/>
                              <w:sz w:val="16"/>
                              <w:szCs w:val="16"/>
                            </w:rPr>
                          </m:ctrlPr>
                        </m:fPr>
                        <m:num>
                          <m:r>
                            <w:rPr>
                              <w:rFonts w:ascii="Cambria Math" w:hAnsi="Cambria Math" w:cstheme="minorHAnsi"/>
                              <w:sz w:val="16"/>
                              <w:szCs w:val="16"/>
                            </w:rPr>
                            <m:t>Valor de Venda</m:t>
                          </m:r>
                        </m:num>
                        <m:den>
                          <m:r>
                            <w:rPr>
                              <w:rFonts w:ascii="Cambria Math" w:hAnsi="Cambria Math" w:cstheme="minorHAnsi"/>
                              <w:sz w:val="16"/>
                              <w:szCs w:val="16"/>
                            </w:rPr>
                            <m:t>Valor de Compra</m:t>
                          </m:r>
                        </m:den>
                      </m:f>
                    </m:e>
                  </m:d>
                </m:e>
                <m:sup>
                  <m:f>
                    <m:fPr>
                      <m:ctrlPr>
                        <w:rPr>
                          <w:rFonts w:ascii="Cambria Math" w:hAnsi="Cambria Math" w:cstheme="minorHAnsi"/>
                          <w:i/>
                          <w:sz w:val="16"/>
                          <w:szCs w:val="16"/>
                        </w:rPr>
                      </m:ctrlPr>
                    </m:fPr>
                    <m:num>
                      <m:r>
                        <w:rPr>
                          <w:rFonts w:ascii="Cambria Math" w:hAnsi="Cambria Math" w:cstheme="minorHAnsi"/>
                          <w:sz w:val="16"/>
                          <w:szCs w:val="16"/>
                        </w:rPr>
                        <m:t>252</m:t>
                      </m:r>
                    </m:num>
                    <m:den>
                      <m:r>
                        <w:rPr>
                          <w:rFonts w:ascii="Cambria Math" w:hAnsi="Cambria Math" w:cstheme="minorHAnsi"/>
                          <w:sz w:val="16"/>
                          <w:szCs w:val="16"/>
                        </w:rPr>
                        <m:t>dias úteis no período</m:t>
                      </m:r>
                    </m:den>
                  </m:f>
                </m:sup>
              </m:sSup>
              <m:r>
                <w:rPr>
                  <w:rFonts w:ascii="Cambria Math" w:hAnsi="Cambria Math" w:cstheme="minorHAnsi"/>
                  <w:sz w:val="16"/>
                  <w:szCs w:val="16"/>
                </w:rPr>
                <m:t>-1</m:t>
              </m:r>
            </m:e>
          </m:d>
          <m:r>
            <w:rPr>
              <w:rFonts w:ascii="Cambria Math" w:hAnsi="Cambria Math" w:cstheme="minorHAnsi"/>
              <w:sz w:val="16"/>
              <w:szCs w:val="16"/>
            </w:rPr>
            <m:t>*100</m:t>
          </m:r>
        </m:oMath>
      </m:oMathPara>
    </w:p>
    <w:p w14:paraId="39116700"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Onde:</w:t>
      </w:r>
    </w:p>
    <w:p w14:paraId="6BA93327" w14:textId="77777777" w:rsidR="00500AE2" w:rsidRPr="00A92A3E" w:rsidRDefault="00500AE2" w:rsidP="00500AE2">
      <w:pPr>
        <w:spacing w:after="0"/>
        <w:ind w:left="1134"/>
        <w:rPr>
          <w:rFonts w:asciiTheme="minorHAnsi" w:eastAsiaTheme="minorEastAsia" w:hAnsiTheme="minorHAnsi" w:cstheme="minorHAnsi"/>
          <w:sz w:val="16"/>
          <w:szCs w:val="16"/>
        </w:rPr>
      </w:pPr>
      <m:oMath>
        <m:r>
          <w:rPr>
            <w:rFonts w:ascii="Cambria Math" w:hAnsi="Cambria Math" w:cstheme="minorHAnsi"/>
            <w:sz w:val="16"/>
            <w:szCs w:val="16"/>
          </w:rPr>
          <w:lastRenderedPageBreak/>
          <m:t>Taxa Efetiva no Período</m:t>
        </m:r>
      </m:oMath>
      <w:r w:rsidRPr="00A92A3E">
        <w:rPr>
          <w:rFonts w:asciiTheme="minorHAnsi" w:eastAsiaTheme="minorEastAsia" w:hAnsiTheme="minorHAnsi" w:cstheme="minorHAnsi"/>
          <w:sz w:val="16"/>
          <w:szCs w:val="16"/>
        </w:rPr>
        <w:t xml:space="preserve"> = Taxa negociada no momento da compra</w:t>
      </w:r>
    </w:p>
    <w:p w14:paraId="551C5C4C" w14:textId="77777777" w:rsidR="00500AE2" w:rsidRPr="00A92A3E" w:rsidRDefault="00500AE2" w:rsidP="00500AE2">
      <w:pPr>
        <w:spacing w:after="0"/>
        <w:ind w:left="1134"/>
        <w:rPr>
          <w:rFonts w:asciiTheme="minorHAnsi" w:eastAsiaTheme="minorEastAsia" w:hAnsiTheme="minorHAnsi" w:cstheme="minorHAnsi"/>
          <w:sz w:val="16"/>
          <w:szCs w:val="16"/>
        </w:rPr>
      </w:pPr>
      <m:oMath>
        <m:r>
          <w:rPr>
            <w:rFonts w:ascii="Cambria Math" w:eastAsiaTheme="minorEastAsia" w:hAnsi="Cambria Math" w:cstheme="minorHAnsi"/>
            <w:sz w:val="16"/>
            <w:szCs w:val="16"/>
          </w:rPr>
          <m:t>Valor de Venda</m:t>
        </m:r>
      </m:oMath>
      <w:r w:rsidRPr="00A92A3E">
        <w:rPr>
          <w:rFonts w:asciiTheme="minorHAnsi" w:eastAsiaTheme="minorEastAsia" w:hAnsiTheme="minorHAnsi" w:cstheme="minorHAnsi"/>
          <w:sz w:val="16"/>
          <w:szCs w:val="16"/>
        </w:rPr>
        <w:t xml:space="preserve"> = Valor de negociação do Título Público na data final</w:t>
      </w:r>
    </w:p>
    <w:p w14:paraId="3C0DB6A3" w14:textId="77777777" w:rsidR="00500AE2" w:rsidRPr="00A92A3E" w:rsidRDefault="00500AE2" w:rsidP="00500AE2">
      <w:pPr>
        <w:ind w:left="1134"/>
        <w:rPr>
          <w:rFonts w:asciiTheme="minorHAnsi" w:eastAsiaTheme="minorEastAsia" w:hAnsiTheme="minorHAnsi" w:cstheme="minorHAnsi"/>
          <w:sz w:val="16"/>
          <w:szCs w:val="16"/>
        </w:rPr>
      </w:pPr>
      <m:oMath>
        <m:r>
          <w:rPr>
            <w:rFonts w:ascii="Cambria Math" w:eastAsiaTheme="minorEastAsia" w:hAnsi="Cambria Math" w:cstheme="minorHAnsi"/>
            <w:sz w:val="16"/>
            <w:szCs w:val="16"/>
          </w:rPr>
          <m:t>Valor de Compra</m:t>
        </m:r>
      </m:oMath>
      <w:r w:rsidRPr="00A92A3E">
        <w:rPr>
          <w:rFonts w:asciiTheme="minorHAnsi" w:eastAsiaTheme="minorEastAsia" w:hAnsiTheme="minorHAnsi" w:cstheme="minorHAnsi"/>
          <w:sz w:val="16"/>
          <w:szCs w:val="16"/>
        </w:rPr>
        <w:t xml:space="preserve"> = Valor de negociação do Título na aquisição</w:t>
      </w:r>
    </w:p>
    <w:p w14:paraId="75245BAF" w14:textId="77777777" w:rsidR="00500AE2" w:rsidRPr="00A92A3E" w:rsidRDefault="00500AE2" w:rsidP="00500AE2">
      <w:pPr>
        <w:rPr>
          <w:rFonts w:asciiTheme="minorHAnsi" w:hAnsiTheme="minorHAnsi" w:cstheme="minorHAnsi"/>
          <w:sz w:val="16"/>
          <w:szCs w:val="16"/>
        </w:rPr>
      </w:pPr>
    </w:p>
    <w:p w14:paraId="0EDE4BED" w14:textId="77777777" w:rsidR="00500AE2" w:rsidRPr="00A92A3E" w:rsidRDefault="00500AE2" w:rsidP="00F5523C">
      <w:pPr>
        <w:pStyle w:val="PargrafodaLista"/>
        <w:numPr>
          <w:ilvl w:val="0"/>
          <w:numId w:val="15"/>
        </w:numPr>
        <w:rPr>
          <w:rFonts w:asciiTheme="minorHAnsi" w:hAnsiTheme="minorHAnsi" w:cstheme="minorHAnsi"/>
          <w:b/>
          <w:bCs/>
          <w:sz w:val="16"/>
          <w:szCs w:val="16"/>
        </w:rPr>
      </w:pPr>
      <w:r w:rsidRPr="00A92A3E">
        <w:rPr>
          <w:rFonts w:asciiTheme="minorHAnsi" w:hAnsiTheme="minorHAnsi" w:cstheme="minorHAnsi"/>
          <w:b/>
          <w:bCs/>
          <w:sz w:val="16"/>
          <w:szCs w:val="16"/>
        </w:rPr>
        <w:t>Tesouro Prefixado com Juros Semestrais – NTN-F</w:t>
      </w:r>
    </w:p>
    <w:p w14:paraId="0113869D"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Na NTN-F ocorre uma situação semelhante a NTN-B, com pagamentos semestrais de juros só que com a taxa pré-fixada e pagamento do último cupom ocorre no vencimento do título, juntamente com o resgate do valor de face.</w:t>
      </w:r>
    </w:p>
    <w:p w14:paraId="651FDB66"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A rentabilidade do Tesouro Pré-fixado com Juros Semestrais pode ser calculada segundo a equação:</w:t>
      </w:r>
    </w:p>
    <w:p w14:paraId="1230B1E6" w14:textId="77777777" w:rsidR="00500AE2" w:rsidRPr="00A92A3E" w:rsidRDefault="00500AE2" w:rsidP="00500AE2">
      <w:pPr>
        <w:rPr>
          <w:rFonts w:asciiTheme="minorHAnsi" w:eastAsiaTheme="minorEastAsia" w:hAnsiTheme="minorHAnsi" w:cstheme="minorHAnsi"/>
          <w:sz w:val="16"/>
          <w:szCs w:val="16"/>
        </w:rPr>
      </w:pPr>
      <m:oMathPara>
        <m:oMath>
          <m:r>
            <w:rPr>
              <w:rFonts w:ascii="Cambria Math" w:hAnsi="Cambria Math" w:cstheme="minorHAnsi"/>
              <w:sz w:val="16"/>
              <w:szCs w:val="16"/>
            </w:rPr>
            <m:t xml:space="preserve">Preço= </m:t>
          </m:r>
          <m:nary>
            <m:naryPr>
              <m:chr m:val="∑"/>
              <m:limLoc m:val="undOvr"/>
              <m:ctrlPr>
                <w:rPr>
                  <w:rFonts w:ascii="Cambria Math" w:hAnsi="Cambria Math" w:cstheme="minorHAnsi"/>
                  <w:i/>
                  <w:sz w:val="16"/>
                  <w:szCs w:val="16"/>
                </w:rPr>
              </m:ctrlPr>
            </m:naryPr>
            <m:sub>
              <m:r>
                <w:rPr>
                  <w:rFonts w:ascii="Cambria Math" w:hAnsi="Cambria Math" w:cstheme="minorHAnsi"/>
                  <w:sz w:val="16"/>
                  <w:szCs w:val="16"/>
                </w:rPr>
                <m:t>i=1</m:t>
              </m:r>
            </m:sub>
            <m:sup>
              <m:r>
                <w:rPr>
                  <w:rFonts w:ascii="Cambria Math" w:hAnsi="Cambria Math" w:cstheme="minorHAnsi"/>
                  <w:sz w:val="16"/>
                  <w:szCs w:val="16"/>
                </w:rPr>
                <m:t>n</m:t>
              </m:r>
            </m:sup>
            <m:e>
              <m:r>
                <w:rPr>
                  <w:rFonts w:ascii="Cambria Math" w:hAnsi="Cambria Math" w:cstheme="minorHAnsi"/>
                  <w:sz w:val="16"/>
                  <w:szCs w:val="16"/>
                </w:rPr>
                <m:t xml:space="preserve">1.000* </m:t>
              </m:r>
              <m:d>
                <m:dPr>
                  <m:begChr m:val="["/>
                  <m:endChr m:val="]"/>
                  <m:ctrlPr>
                    <w:rPr>
                      <w:rFonts w:ascii="Cambria Math" w:hAnsi="Cambria Math" w:cstheme="minorHAnsi"/>
                      <w:i/>
                      <w:sz w:val="16"/>
                      <w:szCs w:val="16"/>
                    </w:rPr>
                  </m:ctrlPr>
                </m:dPr>
                <m:e>
                  <m:f>
                    <m:fPr>
                      <m:ctrlPr>
                        <w:rPr>
                          <w:rFonts w:ascii="Cambria Math" w:hAnsi="Cambria Math" w:cstheme="minorHAnsi"/>
                          <w:i/>
                          <w:sz w:val="16"/>
                          <w:szCs w:val="16"/>
                        </w:rPr>
                      </m:ctrlPr>
                    </m:fPr>
                    <m:num>
                      <m:sSup>
                        <m:sSupPr>
                          <m:ctrlPr>
                            <w:rPr>
                              <w:rFonts w:ascii="Cambria Math" w:hAnsi="Cambria Math" w:cstheme="minorHAnsi"/>
                              <w:i/>
                              <w:sz w:val="16"/>
                              <w:szCs w:val="16"/>
                            </w:rPr>
                          </m:ctrlPr>
                        </m:sSupPr>
                        <m:e>
                          <m:d>
                            <m:dPr>
                              <m:ctrlPr>
                                <w:rPr>
                                  <w:rFonts w:ascii="Cambria Math" w:hAnsi="Cambria Math" w:cstheme="minorHAnsi"/>
                                  <w:i/>
                                  <w:sz w:val="16"/>
                                  <w:szCs w:val="16"/>
                                </w:rPr>
                              </m:ctrlPr>
                            </m:dPr>
                            <m:e>
                              <m:r>
                                <w:rPr>
                                  <w:rFonts w:ascii="Cambria Math" w:hAnsi="Cambria Math" w:cstheme="minorHAnsi"/>
                                  <w:sz w:val="16"/>
                                  <w:szCs w:val="16"/>
                                </w:rPr>
                                <m:t>1,10</m:t>
                              </m:r>
                            </m:e>
                          </m:d>
                        </m:e>
                        <m:sup>
                          <m:r>
                            <w:rPr>
                              <w:rFonts w:ascii="Cambria Math" w:hAnsi="Cambria Math" w:cstheme="minorHAnsi"/>
                              <w:sz w:val="16"/>
                              <w:szCs w:val="16"/>
                            </w:rPr>
                            <m:t>0,5</m:t>
                          </m:r>
                        </m:sup>
                      </m:sSup>
                      <m:r>
                        <w:rPr>
                          <w:rFonts w:ascii="Cambria Math" w:hAnsi="Cambria Math" w:cstheme="minorHAnsi"/>
                          <w:sz w:val="16"/>
                          <w:szCs w:val="16"/>
                        </w:rPr>
                        <m:t>-1</m:t>
                      </m:r>
                    </m:num>
                    <m:den>
                      <m:sSup>
                        <m:sSupPr>
                          <m:ctrlPr>
                            <w:rPr>
                              <w:rFonts w:ascii="Cambria Math" w:hAnsi="Cambria Math" w:cstheme="minorHAnsi"/>
                              <w:i/>
                              <w:sz w:val="16"/>
                              <w:szCs w:val="16"/>
                            </w:rPr>
                          </m:ctrlPr>
                        </m:sSupPr>
                        <m:e>
                          <m:r>
                            <w:rPr>
                              <w:rFonts w:ascii="Cambria Math" w:hAnsi="Cambria Math" w:cstheme="minorHAnsi"/>
                              <w:sz w:val="16"/>
                              <w:szCs w:val="16"/>
                            </w:rPr>
                            <m:t>(1+TIR)</m:t>
                          </m:r>
                        </m:e>
                        <m:sup>
                          <m:f>
                            <m:fPr>
                              <m:ctrlPr>
                                <w:rPr>
                                  <w:rFonts w:ascii="Cambria Math" w:hAnsi="Cambria Math" w:cstheme="minorHAnsi"/>
                                  <w:i/>
                                  <w:sz w:val="16"/>
                                  <w:szCs w:val="16"/>
                                </w:rPr>
                              </m:ctrlPr>
                            </m:fPr>
                            <m:num>
                              <m:r>
                                <w:rPr>
                                  <w:rFonts w:ascii="Cambria Math" w:hAnsi="Cambria Math" w:cstheme="minorHAnsi"/>
                                  <w:sz w:val="16"/>
                                  <w:szCs w:val="16"/>
                                </w:rPr>
                                <m:t>DUn</m:t>
                              </m:r>
                            </m:num>
                            <m:den>
                              <m:r>
                                <w:rPr>
                                  <w:rFonts w:ascii="Cambria Math" w:hAnsi="Cambria Math" w:cstheme="minorHAnsi"/>
                                  <w:sz w:val="16"/>
                                  <w:szCs w:val="16"/>
                                </w:rPr>
                                <m:t>252</m:t>
                              </m:r>
                            </m:den>
                          </m:f>
                        </m:sup>
                      </m:sSup>
                    </m:den>
                  </m:f>
                </m:e>
              </m:d>
            </m:e>
          </m:nary>
          <m:r>
            <w:rPr>
              <w:rFonts w:ascii="Cambria Math" w:hAnsi="Cambria Math" w:cstheme="minorHAnsi"/>
              <w:sz w:val="16"/>
              <w:szCs w:val="16"/>
            </w:rPr>
            <m:t xml:space="preserve">+1.000* </m:t>
          </m:r>
          <m:d>
            <m:dPr>
              <m:begChr m:val="["/>
              <m:endChr m:val="]"/>
              <m:ctrlPr>
                <w:rPr>
                  <w:rFonts w:ascii="Cambria Math" w:hAnsi="Cambria Math" w:cstheme="minorHAnsi"/>
                  <w:i/>
                  <w:sz w:val="16"/>
                  <w:szCs w:val="16"/>
                </w:rPr>
              </m:ctrlPr>
            </m:dPr>
            <m:e>
              <m:f>
                <m:fPr>
                  <m:ctrlPr>
                    <w:rPr>
                      <w:rFonts w:ascii="Cambria Math" w:hAnsi="Cambria Math" w:cstheme="minorHAnsi"/>
                      <w:i/>
                      <w:sz w:val="16"/>
                      <w:szCs w:val="16"/>
                    </w:rPr>
                  </m:ctrlPr>
                </m:fPr>
                <m:num>
                  <m:r>
                    <w:rPr>
                      <w:rFonts w:ascii="Cambria Math" w:hAnsi="Cambria Math" w:cstheme="minorHAnsi"/>
                      <w:sz w:val="16"/>
                      <w:szCs w:val="16"/>
                    </w:rPr>
                    <m:t>1</m:t>
                  </m:r>
                </m:num>
                <m:den>
                  <m:sSup>
                    <m:sSupPr>
                      <m:ctrlPr>
                        <w:rPr>
                          <w:rFonts w:ascii="Cambria Math" w:hAnsi="Cambria Math" w:cstheme="minorHAnsi"/>
                          <w:i/>
                          <w:sz w:val="16"/>
                          <w:szCs w:val="16"/>
                        </w:rPr>
                      </m:ctrlPr>
                    </m:sSupPr>
                    <m:e>
                      <m:r>
                        <w:rPr>
                          <w:rFonts w:ascii="Cambria Math" w:hAnsi="Cambria Math" w:cstheme="minorHAnsi"/>
                          <w:sz w:val="16"/>
                          <w:szCs w:val="16"/>
                        </w:rPr>
                        <m:t>(1+TIR)</m:t>
                      </m:r>
                    </m:e>
                    <m:sup>
                      <m:f>
                        <m:fPr>
                          <m:ctrlPr>
                            <w:rPr>
                              <w:rFonts w:ascii="Cambria Math" w:hAnsi="Cambria Math" w:cstheme="minorHAnsi"/>
                              <w:i/>
                              <w:sz w:val="16"/>
                              <w:szCs w:val="16"/>
                            </w:rPr>
                          </m:ctrlPr>
                        </m:fPr>
                        <m:num>
                          <m:r>
                            <w:rPr>
                              <w:rFonts w:ascii="Cambria Math" w:hAnsi="Cambria Math" w:cstheme="minorHAnsi"/>
                              <w:sz w:val="16"/>
                              <w:szCs w:val="16"/>
                            </w:rPr>
                            <m:t>DUn</m:t>
                          </m:r>
                        </m:num>
                        <m:den>
                          <m:r>
                            <w:rPr>
                              <w:rFonts w:ascii="Cambria Math" w:hAnsi="Cambria Math" w:cstheme="minorHAnsi"/>
                              <w:sz w:val="16"/>
                              <w:szCs w:val="16"/>
                            </w:rPr>
                            <m:t>252</m:t>
                          </m:r>
                        </m:den>
                      </m:f>
                    </m:sup>
                  </m:sSup>
                </m:den>
              </m:f>
            </m:e>
          </m:d>
        </m:oMath>
      </m:oMathPara>
    </w:p>
    <w:p w14:paraId="71257B53"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Em que </w:t>
      </w:r>
      <w:r w:rsidRPr="00A92A3E">
        <w:rPr>
          <w:rFonts w:asciiTheme="minorHAnsi" w:hAnsiTheme="minorHAnsi" w:cstheme="minorHAnsi"/>
          <w:i/>
          <w:iCs/>
          <w:sz w:val="16"/>
          <w:szCs w:val="16"/>
        </w:rPr>
        <w:t>DUn</w:t>
      </w:r>
      <w:r w:rsidRPr="00A92A3E">
        <w:rPr>
          <w:rFonts w:asciiTheme="minorHAnsi" w:hAnsiTheme="minorHAnsi" w:cstheme="minorHAnsi"/>
          <w:sz w:val="16"/>
          <w:szCs w:val="16"/>
        </w:rPr>
        <w:t xml:space="preserve"> é o número de dias úteis do período e TIR é a rentabilidade anual do título.</w:t>
      </w:r>
    </w:p>
    <w:p w14:paraId="3220D461" w14:textId="77777777" w:rsidR="006C67E4" w:rsidRPr="00A92A3E" w:rsidRDefault="006C67E4" w:rsidP="00500AE2">
      <w:pPr>
        <w:rPr>
          <w:rFonts w:asciiTheme="minorHAnsi" w:hAnsiTheme="minorHAnsi" w:cstheme="minorHAnsi"/>
          <w:sz w:val="16"/>
          <w:szCs w:val="16"/>
        </w:rPr>
      </w:pPr>
    </w:p>
    <w:p w14:paraId="45F916E3" w14:textId="77777777" w:rsidR="00500AE2" w:rsidRPr="00A92A3E" w:rsidRDefault="00500AE2" w:rsidP="00F5523C">
      <w:pPr>
        <w:pStyle w:val="PargrafodaLista"/>
        <w:numPr>
          <w:ilvl w:val="0"/>
          <w:numId w:val="15"/>
        </w:numPr>
        <w:rPr>
          <w:rFonts w:asciiTheme="minorHAnsi" w:hAnsiTheme="minorHAnsi" w:cstheme="minorHAnsi"/>
          <w:b/>
          <w:bCs/>
          <w:sz w:val="16"/>
          <w:szCs w:val="16"/>
        </w:rPr>
      </w:pPr>
      <w:r w:rsidRPr="00A92A3E">
        <w:rPr>
          <w:rFonts w:asciiTheme="minorHAnsi" w:hAnsiTheme="minorHAnsi" w:cstheme="minorHAnsi"/>
          <w:b/>
          <w:bCs/>
          <w:sz w:val="16"/>
          <w:szCs w:val="16"/>
        </w:rPr>
        <w:t>Tesouro IGPM com Juros Semestrais – NTN-C</w:t>
      </w:r>
    </w:p>
    <w:p w14:paraId="7FEFE67E"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A NTN-C tem funcionamento parecido com NTN-B, com a diferença no indexador, pois utiliza o IGP-M ao invés de IPCA. Atualmente, as NTN-C não são ofertadas no Tesouro Direto sendo apenas recomprado pelo Tesouro Nacional.</w:t>
      </w:r>
    </w:p>
    <w:p w14:paraId="316A5C6C"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 VNA desse título pode ser calculado pela equação:</w:t>
      </w:r>
    </w:p>
    <w:p w14:paraId="58685D65" w14:textId="77777777" w:rsidR="00500AE2" w:rsidRPr="00A92A3E" w:rsidRDefault="00500AE2" w:rsidP="00500AE2">
      <w:pPr>
        <w:rPr>
          <w:rFonts w:asciiTheme="minorHAnsi" w:eastAsiaTheme="minorEastAsia" w:hAnsiTheme="minorHAnsi" w:cstheme="minorHAnsi"/>
          <w:i/>
          <w:sz w:val="16"/>
          <w:szCs w:val="16"/>
        </w:rPr>
      </w:pPr>
      <m:oMathPara>
        <m:oMath>
          <m:r>
            <w:rPr>
              <w:rFonts w:ascii="Cambria Math" w:hAnsi="Cambria Math" w:cstheme="minorHAnsi"/>
              <w:sz w:val="16"/>
              <w:szCs w:val="16"/>
            </w:rPr>
            <m:t>VNA=</m:t>
          </m:r>
          <m:sSub>
            <m:sSubPr>
              <m:ctrlPr>
                <w:rPr>
                  <w:rFonts w:ascii="Cambria Math" w:hAnsi="Cambria Math" w:cstheme="minorHAnsi"/>
                  <w:i/>
                  <w:sz w:val="16"/>
                  <w:szCs w:val="16"/>
                </w:rPr>
              </m:ctrlPr>
            </m:sSubPr>
            <m:e>
              <m:r>
                <w:rPr>
                  <w:rFonts w:ascii="Cambria Math" w:hAnsi="Cambria Math" w:cstheme="minorHAnsi"/>
                  <w:sz w:val="16"/>
                  <w:szCs w:val="16"/>
                </w:rPr>
                <m:t>VNA</m:t>
              </m:r>
            </m:e>
            <m:sub>
              <m:r>
                <w:rPr>
                  <w:rFonts w:ascii="Cambria Math" w:hAnsi="Cambria Math" w:cstheme="minorHAnsi"/>
                  <w:sz w:val="16"/>
                  <w:szCs w:val="16"/>
                </w:rPr>
                <m:t>data de compra</m:t>
              </m:r>
            </m:sub>
          </m:sSub>
          <m:r>
            <w:rPr>
              <w:rFonts w:ascii="Cambria Math" w:hAnsi="Cambria Math" w:cstheme="minorHAnsi"/>
              <w:sz w:val="16"/>
              <w:szCs w:val="16"/>
            </w:rPr>
            <m:t>*</m:t>
          </m:r>
          <m:sSup>
            <m:sSupPr>
              <m:ctrlPr>
                <w:rPr>
                  <w:rFonts w:ascii="Cambria Math" w:hAnsi="Cambria Math" w:cstheme="minorHAnsi"/>
                  <w:i/>
                  <w:sz w:val="16"/>
                  <w:szCs w:val="16"/>
                </w:rPr>
              </m:ctrlPr>
            </m:sSupPr>
            <m:e>
              <m:d>
                <m:dPr>
                  <m:ctrlPr>
                    <w:rPr>
                      <w:rFonts w:ascii="Cambria Math" w:hAnsi="Cambria Math" w:cstheme="minorHAnsi"/>
                      <w:i/>
                      <w:sz w:val="16"/>
                      <w:szCs w:val="16"/>
                    </w:rPr>
                  </m:ctrlPr>
                </m:dPr>
                <m:e>
                  <m:r>
                    <w:rPr>
                      <w:rFonts w:ascii="Cambria Math" w:hAnsi="Cambria Math" w:cstheme="minorHAnsi"/>
                      <w:sz w:val="16"/>
                      <w:szCs w:val="16"/>
                    </w:rPr>
                    <m:t>1+</m:t>
                  </m:r>
                  <m:sSub>
                    <m:sSubPr>
                      <m:ctrlPr>
                        <w:rPr>
                          <w:rFonts w:ascii="Cambria Math" w:hAnsi="Cambria Math" w:cstheme="minorHAnsi"/>
                          <w:i/>
                          <w:sz w:val="16"/>
                          <w:szCs w:val="16"/>
                        </w:rPr>
                      </m:ctrlPr>
                    </m:sSubPr>
                    <m:e>
                      <m:r>
                        <w:rPr>
                          <w:rFonts w:ascii="Cambria Math" w:hAnsi="Cambria Math" w:cstheme="minorHAnsi"/>
                          <w:sz w:val="16"/>
                          <w:szCs w:val="16"/>
                        </w:rPr>
                        <m:t>IGPM</m:t>
                      </m:r>
                    </m:e>
                    <m:sub>
                      <m:r>
                        <w:rPr>
                          <w:rFonts w:ascii="Cambria Math" w:hAnsi="Cambria Math" w:cstheme="minorHAnsi"/>
                          <w:sz w:val="16"/>
                          <w:szCs w:val="16"/>
                        </w:rPr>
                        <m:t>projetado</m:t>
                      </m:r>
                    </m:sub>
                  </m:sSub>
                </m:e>
              </m:d>
            </m:e>
            <m:sup>
              <m:r>
                <w:rPr>
                  <w:rFonts w:ascii="Cambria Math" w:hAnsi="Cambria Math" w:cstheme="minorHAnsi"/>
                  <w:sz w:val="16"/>
                  <w:szCs w:val="16"/>
                </w:rPr>
                <m:t>N1/N2</m:t>
              </m:r>
            </m:sup>
          </m:sSup>
        </m:oMath>
      </m:oMathPara>
    </w:p>
    <w:p w14:paraId="36D3D471"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Onde N1 representa o número de dias corridos entre data de liquidação e primeiro do mês atual e N2 sendo o número de dias corridos entre o dia primeiro do mês seguinte e o primeiro mês atual.</w:t>
      </w:r>
    </w:p>
    <w:p w14:paraId="7789CA57"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Como metodologia final de apuração para os Títulos Públicos que apresentam o valor nominal atualizado, finaliza-se a apuração nos seguintes passos:</w:t>
      </w:r>
    </w:p>
    <w:p w14:paraId="7C245CE5"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(i) identificação da cotação:</w:t>
      </w:r>
    </w:p>
    <w:p w14:paraId="1A0CAF9C" w14:textId="77777777" w:rsidR="00500AE2" w:rsidRPr="00A92A3E" w:rsidRDefault="00500AE2" w:rsidP="00500AE2">
      <w:pPr>
        <w:rPr>
          <w:rFonts w:asciiTheme="minorHAnsi" w:eastAsiaTheme="minorEastAsia" w:hAnsiTheme="minorHAnsi" w:cstheme="minorHAnsi"/>
          <w:sz w:val="16"/>
          <w:szCs w:val="16"/>
        </w:rPr>
      </w:pPr>
      <m:oMathPara>
        <m:oMath>
          <m:r>
            <w:rPr>
              <w:rFonts w:ascii="Cambria Math" w:hAnsi="Cambria Math" w:cstheme="minorHAnsi"/>
              <w:sz w:val="16"/>
              <w:szCs w:val="16"/>
            </w:rPr>
            <m:t xml:space="preserve">Cotação= </m:t>
          </m:r>
          <m:f>
            <m:fPr>
              <m:ctrlPr>
                <w:rPr>
                  <w:rFonts w:ascii="Cambria Math" w:hAnsi="Cambria Math" w:cstheme="minorHAnsi"/>
                  <w:i/>
                  <w:sz w:val="16"/>
                  <w:szCs w:val="16"/>
                </w:rPr>
              </m:ctrlPr>
            </m:fPr>
            <m:num>
              <m:r>
                <w:rPr>
                  <w:rFonts w:ascii="Cambria Math" w:hAnsi="Cambria Math" w:cstheme="minorHAnsi"/>
                  <w:sz w:val="16"/>
                  <w:szCs w:val="16"/>
                </w:rPr>
                <m:t>100</m:t>
              </m:r>
            </m:num>
            <m:den>
              <m:sSup>
                <m:sSupPr>
                  <m:ctrlPr>
                    <w:rPr>
                      <w:rFonts w:ascii="Cambria Math" w:hAnsi="Cambria Math" w:cstheme="minorHAnsi"/>
                      <w:i/>
                      <w:sz w:val="16"/>
                      <w:szCs w:val="16"/>
                    </w:rPr>
                  </m:ctrlPr>
                </m:sSupPr>
                <m:e>
                  <m:r>
                    <w:rPr>
                      <w:rFonts w:ascii="Cambria Math" w:hAnsi="Cambria Math" w:cstheme="minorHAnsi"/>
                      <w:sz w:val="16"/>
                      <w:szCs w:val="16"/>
                    </w:rPr>
                    <m:t>(1+Taxa)</m:t>
                  </m:r>
                </m:e>
                <m:sup>
                  <m:f>
                    <m:fPr>
                      <m:ctrlPr>
                        <w:rPr>
                          <w:rFonts w:ascii="Cambria Math" w:hAnsi="Cambria Math" w:cstheme="minorHAnsi"/>
                          <w:i/>
                          <w:sz w:val="16"/>
                          <w:szCs w:val="16"/>
                        </w:rPr>
                      </m:ctrlPr>
                    </m:fPr>
                    <m:num>
                      <m:r>
                        <w:rPr>
                          <w:rFonts w:ascii="Cambria Math" w:hAnsi="Cambria Math" w:cstheme="minorHAnsi"/>
                          <w:sz w:val="16"/>
                          <w:szCs w:val="16"/>
                        </w:rPr>
                        <m:t>DU</m:t>
                      </m:r>
                    </m:num>
                    <m:den>
                      <m:r>
                        <w:rPr>
                          <w:rFonts w:ascii="Cambria Math" w:hAnsi="Cambria Math" w:cstheme="minorHAnsi"/>
                          <w:sz w:val="16"/>
                          <w:szCs w:val="16"/>
                        </w:rPr>
                        <m:t>252</m:t>
                      </m:r>
                    </m:den>
                  </m:f>
                </m:sup>
              </m:sSup>
            </m:den>
          </m:f>
        </m:oMath>
      </m:oMathPara>
    </w:p>
    <w:p w14:paraId="73B9B53B" w14:textId="77777777" w:rsidR="00500AE2" w:rsidRPr="00A92A3E" w:rsidRDefault="00500AE2" w:rsidP="00500AE2">
      <w:pPr>
        <w:rPr>
          <w:rFonts w:asciiTheme="minorHAnsi" w:eastAsiaTheme="minorEastAsia" w:hAnsiTheme="minorHAnsi" w:cstheme="minorHAnsi"/>
          <w:sz w:val="16"/>
          <w:szCs w:val="16"/>
        </w:rPr>
      </w:pPr>
      <w:r w:rsidRPr="00A92A3E">
        <w:rPr>
          <w:rFonts w:asciiTheme="minorHAnsi" w:eastAsiaTheme="minorEastAsia" w:hAnsiTheme="minorHAnsi" w:cstheme="minorHAnsi"/>
          <w:sz w:val="16"/>
          <w:szCs w:val="16"/>
        </w:rPr>
        <w:t>Onde:</w:t>
      </w:r>
    </w:p>
    <w:p w14:paraId="366A962A" w14:textId="77777777" w:rsidR="00500AE2" w:rsidRPr="00A92A3E" w:rsidRDefault="00500AE2" w:rsidP="00500AE2">
      <w:pPr>
        <w:spacing w:after="0"/>
        <w:ind w:left="1134"/>
        <w:rPr>
          <w:rFonts w:asciiTheme="minorHAnsi" w:eastAsiaTheme="minorEastAsia" w:hAnsiTheme="minorHAnsi" w:cstheme="minorHAnsi"/>
          <w:sz w:val="16"/>
          <w:szCs w:val="16"/>
        </w:rPr>
      </w:pPr>
      <m:oMath>
        <m:r>
          <w:rPr>
            <w:rFonts w:ascii="Cambria Math" w:hAnsi="Cambria Math" w:cstheme="minorHAnsi"/>
            <w:sz w:val="16"/>
            <w:szCs w:val="16"/>
          </w:rPr>
          <m:t>Cotação</m:t>
        </m:r>
      </m:oMath>
      <w:r w:rsidRPr="00A92A3E">
        <w:rPr>
          <w:rFonts w:asciiTheme="minorHAnsi" w:eastAsiaTheme="minorEastAsia" w:hAnsiTheme="minorHAnsi" w:cstheme="minorHAnsi"/>
          <w:sz w:val="16"/>
          <w:szCs w:val="16"/>
        </w:rPr>
        <w:t xml:space="preserve"> = é o valor unitário apresentado em um dia</w:t>
      </w:r>
    </w:p>
    <w:p w14:paraId="320F9B4E" w14:textId="77777777" w:rsidR="00500AE2" w:rsidRPr="00A92A3E" w:rsidRDefault="00500AE2" w:rsidP="00500AE2">
      <w:pPr>
        <w:ind w:left="1134"/>
        <w:rPr>
          <w:rFonts w:asciiTheme="minorHAnsi" w:eastAsiaTheme="minorEastAsia" w:hAnsiTheme="minorHAnsi" w:cstheme="minorHAnsi"/>
          <w:sz w:val="16"/>
          <w:szCs w:val="16"/>
        </w:rPr>
      </w:pPr>
      <m:oMath>
        <m:r>
          <w:rPr>
            <w:rFonts w:ascii="Cambria Math" w:eastAsiaTheme="minorEastAsia" w:hAnsi="Cambria Math" w:cstheme="minorHAnsi"/>
            <w:sz w:val="16"/>
            <w:szCs w:val="16"/>
          </w:rPr>
          <m:t>Taxa</m:t>
        </m:r>
      </m:oMath>
      <w:r w:rsidRPr="00A92A3E">
        <w:rPr>
          <w:rFonts w:asciiTheme="minorHAnsi" w:eastAsiaTheme="minorEastAsia" w:hAnsiTheme="minorHAnsi" w:cstheme="minorHAnsi"/>
          <w:sz w:val="16"/>
          <w:szCs w:val="16"/>
        </w:rPr>
        <w:t xml:space="preserve"> = taxa de negociação ou compra o Título Público Federal</w:t>
      </w:r>
    </w:p>
    <w:p w14:paraId="1BC5D535"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(ii) identificação do preço atual:</w:t>
      </w:r>
    </w:p>
    <w:p w14:paraId="0F910BE1" w14:textId="77777777" w:rsidR="00500AE2" w:rsidRPr="00A92A3E" w:rsidRDefault="00500AE2" w:rsidP="00500AE2">
      <w:pPr>
        <w:rPr>
          <w:rFonts w:asciiTheme="minorHAnsi" w:eastAsiaTheme="minorEastAsia" w:hAnsiTheme="minorHAnsi" w:cstheme="minorHAnsi"/>
          <w:sz w:val="16"/>
          <w:szCs w:val="16"/>
        </w:rPr>
      </w:pPr>
      <m:oMathPara>
        <m:oMathParaPr>
          <m:jc m:val="center"/>
        </m:oMathParaPr>
        <m:oMath>
          <m:r>
            <w:rPr>
              <w:rFonts w:ascii="Cambria Math" w:eastAsiaTheme="minorEastAsia" w:hAnsi="Cambria Math" w:cstheme="minorHAnsi"/>
              <w:sz w:val="16"/>
              <w:szCs w:val="16"/>
            </w:rPr>
            <m:t xml:space="preserve">Preço= VNA* </m:t>
          </m:r>
          <m:d>
            <m:dPr>
              <m:begChr m:val="["/>
              <m:endChr m:val="]"/>
              <m:ctrlPr>
                <w:rPr>
                  <w:rFonts w:ascii="Cambria Math" w:eastAsiaTheme="minorEastAsia" w:hAnsi="Cambria Math" w:cstheme="minorHAnsi"/>
                  <w:i/>
                  <w:sz w:val="16"/>
                  <w:szCs w:val="16"/>
                </w:rPr>
              </m:ctrlPr>
            </m:dPr>
            <m:e>
              <m:f>
                <m:fPr>
                  <m:ctrlPr>
                    <w:rPr>
                      <w:rFonts w:ascii="Cambria Math" w:eastAsiaTheme="minorEastAsia" w:hAnsi="Cambria Math" w:cstheme="minorHAnsi"/>
                      <w:i/>
                      <w:sz w:val="16"/>
                      <w:szCs w:val="16"/>
                    </w:rPr>
                  </m:ctrlPr>
                </m:fPr>
                <m:num>
                  <m:r>
                    <w:rPr>
                      <w:rFonts w:ascii="Cambria Math" w:eastAsiaTheme="minorEastAsia" w:hAnsi="Cambria Math" w:cstheme="minorHAnsi"/>
                      <w:sz w:val="16"/>
                      <w:szCs w:val="16"/>
                    </w:rPr>
                    <m:t>Cotação</m:t>
                  </m:r>
                </m:num>
                <m:den>
                  <m:r>
                    <w:rPr>
                      <w:rFonts w:ascii="Cambria Math" w:eastAsiaTheme="minorEastAsia" w:hAnsi="Cambria Math" w:cstheme="minorHAnsi"/>
                      <w:sz w:val="16"/>
                      <w:szCs w:val="16"/>
                    </w:rPr>
                    <m:t>100</m:t>
                  </m:r>
                </m:den>
              </m:f>
            </m:e>
          </m:d>
        </m:oMath>
      </m:oMathPara>
    </w:p>
    <w:p w14:paraId="4A815E00" w14:textId="77777777" w:rsidR="00500AE2" w:rsidRPr="00A92A3E" w:rsidRDefault="00500AE2" w:rsidP="00500AE2">
      <w:pPr>
        <w:rPr>
          <w:rFonts w:asciiTheme="minorHAnsi" w:eastAsiaTheme="minorEastAsia" w:hAnsiTheme="minorHAnsi" w:cstheme="minorHAnsi"/>
          <w:sz w:val="16"/>
          <w:szCs w:val="16"/>
        </w:rPr>
      </w:pPr>
      <w:r w:rsidRPr="00A92A3E">
        <w:rPr>
          <w:rFonts w:asciiTheme="minorHAnsi" w:eastAsiaTheme="minorEastAsia" w:hAnsiTheme="minorHAnsi" w:cstheme="minorHAnsi"/>
          <w:sz w:val="16"/>
          <w:szCs w:val="16"/>
        </w:rPr>
        <w:t>Onde:</w:t>
      </w:r>
    </w:p>
    <w:p w14:paraId="600006BB" w14:textId="77777777" w:rsidR="00500AE2" w:rsidRPr="00A92A3E" w:rsidRDefault="00500AE2" w:rsidP="00500AE2">
      <w:pPr>
        <w:spacing w:after="0"/>
        <w:ind w:left="1134"/>
        <w:rPr>
          <w:rFonts w:asciiTheme="minorHAnsi" w:eastAsiaTheme="minorEastAsia" w:hAnsiTheme="minorHAnsi" w:cstheme="minorHAnsi"/>
          <w:sz w:val="16"/>
          <w:szCs w:val="16"/>
        </w:rPr>
      </w:pPr>
      <m:oMath>
        <m:r>
          <w:rPr>
            <w:rFonts w:ascii="Cambria Math" w:eastAsiaTheme="minorEastAsia" w:hAnsi="Cambria Math" w:cstheme="minorHAnsi"/>
            <w:sz w:val="16"/>
            <w:szCs w:val="16"/>
          </w:rPr>
          <m:t>Preço</m:t>
        </m:r>
      </m:oMath>
      <w:r w:rsidRPr="00A92A3E">
        <w:rPr>
          <w:rFonts w:asciiTheme="minorHAnsi" w:eastAsiaTheme="minorEastAsia" w:hAnsiTheme="minorHAnsi" w:cstheme="minorHAnsi"/>
          <w:sz w:val="16"/>
          <w:szCs w:val="16"/>
        </w:rPr>
        <w:t xml:space="preserve"> = valor unitário do Título Público Federal</w:t>
      </w:r>
    </w:p>
    <w:p w14:paraId="7C0F20E0" w14:textId="77777777" w:rsidR="00500AE2" w:rsidRPr="00A92A3E" w:rsidRDefault="00500AE2" w:rsidP="00500AE2">
      <w:pPr>
        <w:spacing w:after="0"/>
        <w:ind w:left="1134"/>
        <w:rPr>
          <w:rFonts w:asciiTheme="minorHAnsi" w:eastAsiaTheme="minorEastAsia" w:hAnsiTheme="minorHAnsi" w:cstheme="minorHAnsi"/>
          <w:sz w:val="16"/>
          <w:szCs w:val="16"/>
        </w:rPr>
      </w:pPr>
      <m:oMath>
        <m:r>
          <w:rPr>
            <w:rFonts w:ascii="Cambria Math" w:hAnsi="Cambria Math" w:cstheme="minorHAnsi"/>
            <w:sz w:val="16"/>
            <w:szCs w:val="16"/>
          </w:rPr>
          <m:t>VNA</m:t>
        </m:r>
      </m:oMath>
      <w:r w:rsidRPr="00A92A3E">
        <w:rPr>
          <w:rFonts w:asciiTheme="minorHAnsi" w:eastAsiaTheme="minorEastAsia" w:hAnsiTheme="minorHAnsi" w:cstheme="minorHAnsi"/>
          <w:sz w:val="16"/>
          <w:szCs w:val="16"/>
        </w:rPr>
        <w:t xml:space="preserve"> = Valor Nominal Atualizado</w:t>
      </w:r>
    </w:p>
    <w:p w14:paraId="6B6D359F" w14:textId="77777777" w:rsidR="00500AE2" w:rsidRPr="00A92A3E" w:rsidRDefault="00500AE2" w:rsidP="00500AE2">
      <w:pPr>
        <w:ind w:left="1134"/>
        <w:rPr>
          <w:rFonts w:asciiTheme="minorHAnsi" w:eastAsiaTheme="minorEastAsia" w:hAnsiTheme="minorHAnsi" w:cstheme="minorHAnsi"/>
          <w:sz w:val="16"/>
          <w:szCs w:val="16"/>
        </w:rPr>
      </w:pPr>
      <m:oMath>
        <m:r>
          <w:rPr>
            <w:rFonts w:ascii="Cambria Math" w:hAnsi="Cambria Math" w:cstheme="minorHAnsi"/>
            <w:sz w:val="16"/>
            <w:szCs w:val="16"/>
          </w:rPr>
          <m:t>Cotação</m:t>
        </m:r>
      </m:oMath>
      <w:r w:rsidRPr="00A92A3E">
        <w:rPr>
          <w:rFonts w:asciiTheme="minorHAnsi" w:eastAsiaTheme="minorEastAsia" w:hAnsiTheme="minorHAnsi" w:cstheme="minorHAnsi"/>
          <w:sz w:val="16"/>
          <w:szCs w:val="16"/>
        </w:rPr>
        <w:t xml:space="preserve"> = é o valor unitário apresentado em um dia</w:t>
      </w:r>
    </w:p>
    <w:p w14:paraId="0F4CA394" w14:textId="77777777" w:rsidR="006C67E4" w:rsidRPr="00A92A3E" w:rsidRDefault="006C67E4" w:rsidP="006C67E4">
      <w:pPr>
        <w:rPr>
          <w:rFonts w:asciiTheme="minorHAnsi" w:hAnsiTheme="minorHAnsi" w:cstheme="minorHAnsi"/>
          <w:sz w:val="16"/>
          <w:szCs w:val="16"/>
        </w:rPr>
      </w:pPr>
    </w:p>
    <w:p w14:paraId="776C7C8B" w14:textId="26022CF2" w:rsidR="00500AE2" w:rsidRPr="00A92A3E" w:rsidRDefault="00875FB1" w:rsidP="006C67E4">
      <w:pPr>
        <w:pStyle w:val="Ttulo3"/>
        <w:rPr>
          <w:rFonts w:asciiTheme="minorHAnsi" w:hAnsiTheme="minorHAnsi" w:cstheme="minorHAnsi"/>
          <w:sz w:val="16"/>
          <w:szCs w:val="16"/>
        </w:rPr>
      </w:pPr>
      <w:bookmarkStart w:id="127" w:name="_Toc118105163"/>
      <w:r w:rsidRPr="00A92A3E">
        <w:rPr>
          <w:rFonts w:asciiTheme="minorHAnsi" w:hAnsiTheme="minorHAnsi" w:cstheme="minorHAnsi"/>
          <w:sz w:val="16"/>
          <w:szCs w:val="16"/>
        </w:rPr>
        <w:t>Fundos de Investimentos</w:t>
      </w:r>
      <w:bookmarkEnd w:id="127"/>
    </w:p>
    <w:p w14:paraId="17F2CF8B"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A Instrução CVM 555 dispõe sobre a constituição, a administração, o funcionamento e a divulgação de informações dos fundos de investimento.</w:t>
      </w:r>
    </w:p>
    <w:p w14:paraId="5910C277"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lastRenderedPageBreak/>
        <w:t>O investimento em um fundo de investimento, portanto, confere domínio direto sobre fração ideal do patrimônio dado que cada cotista possui propriedade proporcional dos ativos inerentes à composição de cada fundo, sendo inteiramente responsável pelo ônus ou bônus dessa propriedade.</w:t>
      </w:r>
    </w:p>
    <w:p w14:paraId="73012732"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Através de divulgação pública e oficial, calcula-se o retorno do fundo de investimentos auferindo o rendimento do período, multiplicado pelo valor atual. Abaixo segue fórmula:</w:t>
      </w:r>
    </w:p>
    <w:p w14:paraId="0E498C73" w14:textId="77777777" w:rsidR="00500AE2" w:rsidRPr="00A92A3E" w:rsidRDefault="00500AE2" w:rsidP="00500AE2">
      <w:pPr>
        <w:rPr>
          <w:rFonts w:asciiTheme="minorHAnsi" w:eastAsiaTheme="minorEastAsia" w:hAnsiTheme="minorHAnsi" w:cstheme="minorHAnsi"/>
          <w:sz w:val="16"/>
          <w:szCs w:val="16"/>
        </w:rPr>
      </w:pPr>
      <m:oMathPara>
        <m:oMath>
          <m:r>
            <w:rPr>
              <w:rFonts w:ascii="Cambria Math" w:hAnsi="Cambria Math" w:cstheme="minorHAnsi"/>
              <w:sz w:val="16"/>
              <w:szCs w:val="16"/>
            </w:rPr>
            <m:t>retorno=</m:t>
          </m:r>
          <m:d>
            <m:dPr>
              <m:ctrlPr>
                <w:rPr>
                  <w:rFonts w:ascii="Cambria Math" w:hAnsi="Cambria Math" w:cstheme="minorHAnsi"/>
                  <w:i/>
                  <w:sz w:val="16"/>
                  <w:szCs w:val="16"/>
                </w:rPr>
              </m:ctrlPr>
            </m:dPr>
            <m:e>
              <m:r>
                <w:rPr>
                  <w:rFonts w:ascii="Cambria Math" w:hAnsi="Cambria Math" w:cstheme="minorHAnsi"/>
                  <w:sz w:val="16"/>
                  <w:szCs w:val="16"/>
                </w:rPr>
                <m:t>1+</m:t>
              </m:r>
              <m:sSub>
                <m:sSubPr>
                  <m:ctrlPr>
                    <w:rPr>
                      <w:rFonts w:ascii="Cambria Math" w:hAnsi="Cambria Math" w:cstheme="minorHAnsi"/>
                      <w:i/>
                      <w:sz w:val="16"/>
                      <w:szCs w:val="16"/>
                    </w:rPr>
                  </m:ctrlPr>
                </m:sSubPr>
                <m:e>
                  <m:r>
                    <w:rPr>
                      <w:rFonts w:ascii="Cambria Math" w:hAnsi="Cambria Math" w:cstheme="minorHAnsi"/>
                      <w:sz w:val="16"/>
                      <w:szCs w:val="16"/>
                    </w:rPr>
                    <m:t>S</m:t>
                  </m:r>
                </m:e>
                <m:sub>
                  <m:r>
                    <w:rPr>
                      <w:rFonts w:ascii="Cambria Math" w:hAnsi="Cambria Math" w:cstheme="minorHAnsi"/>
                      <w:sz w:val="16"/>
                      <w:szCs w:val="16"/>
                    </w:rPr>
                    <m:t>anterior</m:t>
                  </m:r>
                </m:sub>
              </m:sSub>
            </m:e>
          </m:d>
          <m:r>
            <w:rPr>
              <w:rFonts w:ascii="Cambria Math" w:hAnsi="Cambria Math" w:cstheme="minorHAnsi"/>
              <w:sz w:val="16"/>
              <w:szCs w:val="16"/>
            </w:rPr>
            <m:t>* Ren</m:t>
          </m:r>
          <m:sSub>
            <m:sSubPr>
              <m:ctrlPr>
                <w:rPr>
                  <w:rFonts w:ascii="Cambria Math" w:hAnsi="Cambria Math" w:cstheme="minorHAnsi"/>
                  <w:i/>
                  <w:sz w:val="16"/>
                  <w:szCs w:val="16"/>
                </w:rPr>
              </m:ctrlPr>
            </m:sSubPr>
            <m:e>
              <m:r>
                <w:rPr>
                  <w:rFonts w:ascii="Cambria Math" w:hAnsi="Cambria Math" w:cstheme="minorHAnsi"/>
                  <w:sz w:val="16"/>
                  <w:szCs w:val="16"/>
                </w:rPr>
                <m:t>d</m:t>
              </m:r>
            </m:e>
            <m:sub>
              <m:r>
                <w:rPr>
                  <w:rFonts w:ascii="Cambria Math" w:hAnsi="Cambria Math" w:cstheme="minorHAnsi"/>
                  <w:sz w:val="16"/>
                  <w:szCs w:val="16"/>
                </w:rPr>
                <m:t>fundo</m:t>
              </m:r>
            </m:sub>
          </m:sSub>
        </m:oMath>
      </m:oMathPara>
    </w:p>
    <w:p w14:paraId="369DBED1"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Onde:</w:t>
      </w:r>
    </w:p>
    <w:p w14:paraId="5CAE23C0"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Retorno: valor da diferente do montante aportado e o resultado final do período</w:t>
      </w:r>
    </w:p>
    <w:p w14:paraId="1F9E7610" w14:textId="77777777" w:rsidR="00500AE2" w:rsidRPr="00A92A3E" w:rsidRDefault="00F345CA" w:rsidP="00500AE2">
      <w:pPr>
        <w:spacing w:after="0"/>
        <w:ind w:left="1134"/>
        <w:rPr>
          <w:rFonts w:asciiTheme="minorHAnsi" w:eastAsiaTheme="minorEastAsia" w:hAnsiTheme="minorHAnsi" w:cstheme="minorHAnsi"/>
          <w:sz w:val="16"/>
          <w:szCs w:val="16"/>
        </w:rPr>
      </w:pPr>
      <m:oMath>
        <m:sSub>
          <m:sSubPr>
            <m:ctrlPr>
              <w:rPr>
                <w:rFonts w:ascii="Cambria Math" w:hAnsi="Cambria Math" w:cstheme="minorHAnsi"/>
                <w:i/>
                <w:sz w:val="16"/>
                <w:szCs w:val="16"/>
              </w:rPr>
            </m:ctrlPr>
          </m:sSubPr>
          <m:e>
            <m:r>
              <w:rPr>
                <w:rFonts w:ascii="Cambria Math" w:hAnsi="Cambria Math" w:cstheme="minorHAnsi"/>
                <w:sz w:val="16"/>
                <w:szCs w:val="16"/>
              </w:rPr>
              <m:t>S</m:t>
            </m:r>
          </m:e>
          <m:sub>
            <m:r>
              <w:rPr>
                <w:rFonts w:ascii="Cambria Math" w:hAnsi="Cambria Math" w:cstheme="minorHAnsi"/>
                <w:sz w:val="16"/>
                <w:szCs w:val="16"/>
              </w:rPr>
              <m:t>anterior</m:t>
            </m:r>
          </m:sub>
        </m:sSub>
      </m:oMath>
      <w:r w:rsidR="00500AE2" w:rsidRPr="00A92A3E">
        <w:rPr>
          <w:rFonts w:asciiTheme="minorHAnsi" w:eastAsiaTheme="minorEastAsia" w:hAnsiTheme="minorHAnsi" w:cstheme="minorHAnsi"/>
          <w:sz w:val="16"/>
          <w:szCs w:val="16"/>
        </w:rPr>
        <w:t xml:space="preserve"> : saldo inicial do investimento</w:t>
      </w:r>
    </w:p>
    <w:p w14:paraId="1D23FA37" w14:textId="77777777" w:rsidR="00500AE2" w:rsidRPr="00A92A3E" w:rsidRDefault="00500AE2" w:rsidP="00500AE2">
      <w:pPr>
        <w:ind w:left="1134"/>
        <w:rPr>
          <w:rFonts w:asciiTheme="minorHAnsi" w:eastAsiaTheme="minorEastAsia" w:hAnsiTheme="minorHAnsi" w:cstheme="minorHAnsi"/>
          <w:sz w:val="16"/>
          <w:szCs w:val="16"/>
        </w:rPr>
      </w:pPr>
      <m:oMath>
        <m:r>
          <w:rPr>
            <w:rFonts w:ascii="Cambria Math" w:hAnsi="Cambria Math" w:cstheme="minorHAnsi"/>
            <w:sz w:val="16"/>
            <w:szCs w:val="16"/>
          </w:rPr>
          <m:t>Ren</m:t>
        </m:r>
        <m:sSub>
          <m:sSubPr>
            <m:ctrlPr>
              <w:rPr>
                <w:rFonts w:ascii="Cambria Math" w:hAnsi="Cambria Math" w:cstheme="minorHAnsi"/>
                <w:i/>
                <w:sz w:val="16"/>
                <w:szCs w:val="16"/>
              </w:rPr>
            </m:ctrlPr>
          </m:sSubPr>
          <m:e>
            <m:r>
              <w:rPr>
                <w:rFonts w:ascii="Cambria Math" w:hAnsi="Cambria Math" w:cstheme="minorHAnsi"/>
                <w:sz w:val="16"/>
                <w:szCs w:val="16"/>
              </w:rPr>
              <m:t>d</m:t>
            </m:r>
          </m:e>
          <m:sub>
            <m:r>
              <w:rPr>
                <w:rFonts w:ascii="Cambria Math" w:hAnsi="Cambria Math" w:cstheme="minorHAnsi"/>
                <w:sz w:val="16"/>
                <w:szCs w:val="16"/>
              </w:rPr>
              <m:t>fundo</m:t>
            </m:r>
          </m:sub>
        </m:sSub>
      </m:oMath>
      <w:r w:rsidRPr="00A92A3E">
        <w:rPr>
          <w:rFonts w:asciiTheme="minorHAnsi" w:eastAsiaTheme="minorEastAsia" w:hAnsiTheme="minorHAnsi" w:cstheme="minorHAnsi"/>
          <w:sz w:val="16"/>
          <w:szCs w:val="16"/>
        </w:rPr>
        <w:t xml:space="preserve"> : rendimento do fundo de investimento em um determinado período (em percentual)</w:t>
      </w:r>
    </w:p>
    <w:p w14:paraId="0842BE84"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Para auferir o valor aportado no fundo de investimento quanto a sua posição em relação a quantidade de cotas, calcula-se:</w:t>
      </w:r>
    </w:p>
    <w:p w14:paraId="039379B7" w14:textId="77777777" w:rsidR="00500AE2" w:rsidRPr="00A92A3E" w:rsidRDefault="00F345CA" w:rsidP="00500AE2">
      <w:pPr>
        <w:spacing w:before="240"/>
        <w:rPr>
          <w:rFonts w:asciiTheme="minorHAnsi" w:eastAsiaTheme="minorEastAsia" w:hAnsiTheme="minorHAnsi" w:cstheme="minorHAnsi"/>
          <w:sz w:val="16"/>
          <w:szCs w:val="16"/>
        </w:rPr>
      </w:pPr>
      <m:oMathPara>
        <m:oMath>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V</m:t>
              </m:r>
            </m:e>
            <m:sub>
              <m:r>
                <w:rPr>
                  <w:rFonts w:ascii="Cambria Math" w:eastAsiaTheme="minorEastAsia" w:hAnsi="Cambria Math" w:cstheme="minorHAnsi"/>
                  <w:sz w:val="16"/>
                  <w:szCs w:val="16"/>
                </w:rPr>
                <m:t>atual</m:t>
              </m:r>
            </m:sub>
          </m:sSub>
          <m:r>
            <w:rPr>
              <w:rFonts w:ascii="Cambria Math" w:eastAsiaTheme="minorEastAsia" w:hAnsi="Cambria Math" w:cstheme="minorHAnsi"/>
              <w:sz w:val="16"/>
              <w:szCs w:val="16"/>
            </w:rPr>
            <m:t>=</m:t>
          </m:r>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V</m:t>
              </m:r>
            </m:e>
            <m:sub>
              <m:r>
                <w:rPr>
                  <w:rFonts w:ascii="Cambria Math" w:eastAsiaTheme="minorEastAsia" w:hAnsi="Cambria Math" w:cstheme="minorHAnsi"/>
                  <w:sz w:val="16"/>
                  <w:szCs w:val="16"/>
                </w:rPr>
                <m:t>cota</m:t>
              </m:r>
            </m:sub>
          </m:sSub>
          <m:r>
            <w:rPr>
              <w:rFonts w:ascii="Cambria Math" w:eastAsiaTheme="minorEastAsia" w:hAnsi="Cambria Math" w:cstheme="minorHAnsi"/>
              <w:sz w:val="16"/>
              <w:szCs w:val="16"/>
            </w:rPr>
            <m:t>*Q</m:t>
          </m:r>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t</m:t>
              </m:r>
            </m:e>
            <m:sub>
              <m:r>
                <w:rPr>
                  <w:rFonts w:ascii="Cambria Math" w:eastAsiaTheme="minorEastAsia" w:hAnsi="Cambria Math" w:cstheme="minorHAnsi"/>
                  <w:sz w:val="16"/>
                  <w:szCs w:val="16"/>
                </w:rPr>
                <m:t>cotas</m:t>
              </m:r>
            </m:sub>
          </m:sSub>
        </m:oMath>
      </m:oMathPara>
    </w:p>
    <w:p w14:paraId="4BB117F4" w14:textId="77777777" w:rsidR="00500AE2" w:rsidRPr="00A92A3E" w:rsidRDefault="00500AE2" w:rsidP="00500AE2">
      <w:pPr>
        <w:spacing w:before="240"/>
        <w:rPr>
          <w:rFonts w:asciiTheme="minorHAnsi" w:eastAsiaTheme="minorEastAsia" w:hAnsiTheme="minorHAnsi" w:cstheme="minorHAnsi"/>
          <w:sz w:val="16"/>
          <w:szCs w:val="16"/>
        </w:rPr>
      </w:pPr>
      <w:r w:rsidRPr="00A92A3E">
        <w:rPr>
          <w:rFonts w:asciiTheme="minorHAnsi" w:eastAsiaTheme="minorEastAsia" w:hAnsiTheme="minorHAnsi" w:cstheme="minorHAnsi"/>
          <w:sz w:val="16"/>
          <w:szCs w:val="16"/>
        </w:rPr>
        <w:t>Onde:</w:t>
      </w:r>
    </w:p>
    <w:p w14:paraId="63F0C780" w14:textId="77777777" w:rsidR="00500AE2" w:rsidRPr="00A92A3E" w:rsidRDefault="00F345CA" w:rsidP="00500AE2">
      <w:pPr>
        <w:spacing w:after="0"/>
        <w:ind w:left="1701"/>
        <w:jc w:val="left"/>
        <w:rPr>
          <w:rFonts w:asciiTheme="minorHAnsi" w:eastAsiaTheme="minorEastAsia" w:hAnsiTheme="minorHAnsi" w:cstheme="minorHAnsi"/>
          <w:sz w:val="16"/>
          <w:szCs w:val="16"/>
        </w:rPr>
      </w:pPr>
      <m:oMath>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V</m:t>
            </m:r>
          </m:e>
          <m:sub>
            <m:r>
              <w:rPr>
                <w:rFonts w:ascii="Cambria Math" w:eastAsiaTheme="minorEastAsia" w:hAnsi="Cambria Math" w:cstheme="minorHAnsi"/>
                <w:sz w:val="16"/>
                <w:szCs w:val="16"/>
              </w:rPr>
              <m:t>atual</m:t>
            </m:r>
          </m:sub>
        </m:sSub>
      </m:oMath>
      <w:r w:rsidR="00500AE2" w:rsidRPr="00A92A3E">
        <w:rPr>
          <w:rFonts w:asciiTheme="minorHAnsi" w:eastAsiaTheme="minorEastAsia" w:hAnsiTheme="minorHAnsi" w:cstheme="minorHAnsi"/>
          <w:sz w:val="16"/>
          <w:szCs w:val="16"/>
        </w:rPr>
        <w:t xml:space="preserve"> : valor atual do investimento</w:t>
      </w:r>
    </w:p>
    <w:p w14:paraId="27226DDE" w14:textId="77777777" w:rsidR="00500AE2" w:rsidRPr="00A92A3E" w:rsidRDefault="00F345CA" w:rsidP="00500AE2">
      <w:pPr>
        <w:spacing w:after="0"/>
        <w:ind w:left="1701"/>
        <w:jc w:val="left"/>
        <w:rPr>
          <w:rFonts w:asciiTheme="minorHAnsi" w:eastAsiaTheme="minorEastAsia" w:hAnsiTheme="minorHAnsi" w:cstheme="minorHAnsi"/>
          <w:sz w:val="16"/>
          <w:szCs w:val="16"/>
        </w:rPr>
      </w:pPr>
      <m:oMath>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V</m:t>
            </m:r>
          </m:e>
          <m:sub>
            <m:r>
              <w:rPr>
                <w:rFonts w:ascii="Cambria Math" w:eastAsiaTheme="minorEastAsia" w:hAnsi="Cambria Math" w:cstheme="minorHAnsi"/>
                <w:sz w:val="16"/>
                <w:szCs w:val="16"/>
              </w:rPr>
              <m:t>cota</m:t>
            </m:r>
          </m:sub>
        </m:sSub>
      </m:oMath>
      <w:r w:rsidR="00500AE2" w:rsidRPr="00A92A3E">
        <w:rPr>
          <w:rFonts w:asciiTheme="minorHAnsi" w:eastAsiaTheme="minorEastAsia" w:hAnsiTheme="minorHAnsi" w:cstheme="minorHAnsi"/>
          <w:sz w:val="16"/>
          <w:szCs w:val="16"/>
        </w:rPr>
        <w:t xml:space="preserve"> : valor da cota no dia</w:t>
      </w:r>
    </w:p>
    <w:p w14:paraId="6EDD947E" w14:textId="77777777" w:rsidR="00500AE2" w:rsidRPr="00A92A3E" w:rsidRDefault="00500AE2" w:rsidP="00500AE2">
      <w:pPr>
        <w:ind w:left="1701"/>
        <w:jc w:val="left"/>
        <w:rPr>
          <w:rFonts w:asciiTheme="minorHAnsi" w:eastAsiaTheme="minorEastAsia" w:hAnsiTheme="minorHAnsi" w:cstheme="minorHAnsi"/>
          <w:sz w:val="16"/>
          <w:szCs w:val="16"/>
        </w:rPr>
      </w:pPr>
      <m:oMath>
        <m:r>
          <w:rPr>
            <w:rFonts w:ascii="Cambria Math" w:eastAsiaTheme="minorEastAsia" w:hAnsi="Cambria Math" w:cstheme="minorHAnsi"/>
            <w:sz w:val="16"/>
            <w:szCs w:val="16"/>
          </w:rPr>
          <m:t>Q</m:t>
        </m:r>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t</m:t>
            </m:r>
          </m:e>
          <m:sub>
            <m:r>
              <w:rPr>
                <w:rFonts w:ascii="Cambria Math" w:eastAsiaTheme="minorEastAsia" w:hAnsi="Cambria Math" w:cstheme="minorHAnsi"/>
                <w:sz w:val="16"/>
                <w:szCs w:val="16"/>
              </w:rPr>
              <m:t>cotas</m:t>
            </m:r>
          </m:sub>
        </m:sSub>
      </m:oMath>
      <w:r w:rsidRPr="00A92A3E">
        <w:rPr>
          <w:rFonts w:asciiTheme="minorHAnsi" w:eastAsiaTheme="minorEastAsia" w:hAnsiTheme="minorHAnsi" w:cstheme="minorHAnsi"/>
          <w:sz w:val="16"/>
          <w:szCs w:val="16"/>
        </w:rPr>
        <w:t xml:space="preserve"> : quantidade de cotas adquiridas mediante aporte no fundo de investimento</w:t>
      </w:r>
    </w:p>
    <w:p w14:paraId="4596A47A"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Em caso de fundos de investimento imobiliários (FII), onde consta ao menos uma negociação de compra e venda no mercado secundário através de seu </w:t>
      </w:r>
      <w:r w:rsidRPr="00A92A3E">
        <w:rPr>
          <w:rFonts w:asciiTheme="minorHAnsi" w:hAnsiTheme="minorHAnsi" w:cstheme="minorHAnsi"/>
          <w:i/>
          <w:sz w:val="16"/>
          <w:szCs w:val="16"/>
        </w:rPr>
        <w:t xml:space="preserve">ticker; </w:t>
      </w:r>
      <w:r w:rsidRPr="00A92A3E">
        <w:rPr>
          <w:rFonts w:asciiTheme="minorHAnsi" w:hAnsiTheme="minorHAnsi" w:cstheme="minorHAnsi"/>
          <w:sz w:val="16"/>
          <w:szCs w:val="16"/>
        </w:rPr>
        <w:t>esse será calculado através do valor de mercado divulgado no site do B3, caso contrário será calculado a valor de cota, através de divulgado no site da Comissão de Valores Mobiliários – CVM.</w:t>
      </w:r>
    </w:p>
    <w:p w14:paraId="3F30BC27" w14:textId="313F2C09" w:rsidR="00500AE2" w:rsidRPr="00A92A3E" w:rsidRDefault="00875FB1" w:rsidP="006C67E4">
      <w:pPr>
        <w:pStyle w:val="Ttulo3"/>
        <w:rPr>
          <w:rFonts w:asciiTheme="minorHAnsi" w:hAnsiTheme="minorHAnsi" w:cstheme="minorHAnsi"/>
          <w:sz w:val="16"/>
          <w:szCs w:val="16"/>
        </w:rPr>
      </w:pPr>
      <w:bookmarkStart w:id="128" w:name="_Toc118105164"/>
      <w:r w:rsidRPr="00A92A3E">
        <w:rPr>
          <w:rFonts w:asciiTheme="minorHAnsi" w:hAnsiTheme="minorHAnsi" w:cstheme="minorHAnsi"/>
          <w:sz w:val="16"/>
          <w:szCs w:val="16"/>
        </w:rPr>
        <w:t>Títulos Privados</w:t>
      </w:r>
      <w:bookmarkEnd w:id="128"/>
    </w:p>
    <w:p w14:paraId="4BAF0A38"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Títulos privados são títulos emitidos por empresas privadas visando à captação de recursos.</w:t>
      </w:r>
    </w:p>
    <w:p w14:paraId="1527EF52"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As operações compromissadas lastreadas em títulos públicos são operações de compra (venda) com compromisso de revenda (recompra). Na partida da operação são definidas a taxa de remuneração e a data de vencimento da operação. Para as operações compromissadas sem liquidez diária, a marcação a mercado será em acordo com as taxas praticadas pelo emissor para o prazo do título e, adicionalmente, um </w:t>
      </w:r>
      <w:r w:rsidRPr="00A92A3E">
        <w:rPr>
          <w:rFonts w:asciiTheme="minorHAnsi" w:hAnsiTheme="minorHAnsi" w:cstheme="minorHAnsi"/>
          <w:i/>
          <w:sz w:val="16"/>
          <w:szCs w:val="16"/>
        </w:rPr>
        <w:t>spread</w:t>
      </w:r>
      <w:r w:rsidRPr="00A92A3E">
        <w:rPr>
          <w:rFonts w:asciiTheme="minorHAnsi" w:hAnsiTheme="minorHAnsi" w:cstheme="minorHAnsi"/>
          <w:sz w:val="16"/>
          <w:szCs w:val="16"/>
        </w:rPr>
        <w:t xml:space="preserve"> da natureza da operação. Para as operações compromissadas negociadas com liquidez diária, a marcação a mercado será realizada com base na taxa de revenda/recompra na data.</w:t>
      </w:r>
    </w:p>
    <w:p w14:paraId="3814E29F"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Os certificados de depósito bancário (CDBs) são instrumentos de captação de recursos utilizados por instituições financeiras, os quais pagam ao aplicador, ao final do prazo contratado, a remuneração prevista, que em geral é flutuante ou pré-fixada, podendo ser emitidos e registrados na CETIP.</w:t>
      </w:r>
    </w:p>
    <w:p w14:paraId="1446D2B1"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Os CDBs pré-fixados são títulos negociados com ágio/deságio em relação à curva de juros em reais. A marcação do CDB é realizada descontando o seu valor futuro pela taxa pré-fixada de mercado acrescida do </w:t>
      </w:r>
      <w:r w:rsidRPr="00A92A3E">
        <w:rPr>
          <w:rFonts w:asciiTheme="minorHAnsi" w:hAnsiTheme="minorHAnsi" w:cstheme="minorHAnsi"/>
          <w:i/>
          <w:sz w:val="16"/>
          <w:szCs w:val="16"/>
        </w:rPr>
        <w:t>spread</w:t>
      </w:r>
      <w:r w:rsidRPr="00A92A3E">
        <w:rPr>
          <w:rFonts w:asciiTheme="minorHAnsi" w:hAnsiTheme="minorHAnsi" w:cstheme="minorHAnsi"/>
          <w:sz w:val="16"/>
          <w:szCs w:val="16"/>
        </w:rPr>
        <w:t xml:space="preserve"> definido de acordo com as bandas de taxas referentes ao prazo da operação e rating do emissor.</w:t>
      </w:r>
    </w:p>
    <w:p w14:paraId="7C0D9D79"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Os CDBs pós-fixados são títulos atualizados diariamente pelo CDI, ou seja, pela taxa de juros baseada na taxa média dos depósitos interbancários de um dia, calculada e divulgada pela CETIP. Geralmente, o CDI é acrescido de uma taxa ou por percentual </w:t>
      </w:r>
      <w:r w:rsidRPr="00A92A3E">
        <w:rPr>
          <w:rFonts w:asciiTheme="minorHAnsi" w:hAnsiTheme="minorHAnsi" w:cstheme="minorHAnsi"/>
          <w:i/>
          <w:sz w:val="16"/>
          <w:szCs w:val="16"/>
        </w:rPr>
        <w:t>spread</w:t>
      </w:r>
      <w:r w:rsidRPr="00A92A3E">
        <w:rPr>
          <w:rFonts w:asciiTheme="minorHAnsi" w:hAnsiTheme="minorHAnsi" w:cstheme="minorHAnsi"/>
          <w:sz w:val="16"/>
          <w:szCs w:val="16"/>
        </w:rPr>
        <w:t xml:space="preserve"> contratado na data de emissão do papel. A marcação do CDB é realizada descontando o seu valor futuro projetado pela taxa pré-fixada de mercado acrescida do </w:t>
      </w:r>
      <w:r w:rsidRPr="00A92A3E">
        <w:rPr>
          <w:rFonts w:asciiTheme="minorHAnsi" w:hAnsiTheme="minorHAnsi" w:cstheme="minorHAnsi"/>
          <w:i/>
          <w:iCs/>
          <w:sz w:val="16"/>
          <w:szCs w:val="16"/>
        </w:rPr>
        <w:t>spread</w:t>
      </w:r>
      <w:r w:rsidRPr="00A92A3E">
        <w:rPr>
          <w:rFonts w:asciiTheme="minorHAnsi" w:hAnsiTheme="minorHAnsi" w:cstheme="minorHAnsi"/>
          <w:sz w:val="16"/>
          <w:szCs w:val="16"/>
        </w:rPr>
        <w:t xml:space="preserve"> definido de acordo com as faixas de taxas em vigor.</w:t>
      </w:r>
    </w:p>
    <w:p w14:paraId="40E7CAA4" w14:textId="4F546897" w:rsidR="00F91A93" w:rsidRPr="00A92A3E" w:rsidRDefault="00F91A93">
      <w:pPr>
        <w:spacing w:before="0" w:after="160" w:line="259" w:lineRule="auto"/>
        <w:jc w:val="left"/>
        <w:rPr>
          <w:rFonts w:asciiTheme="minorHAnsi" w:hAnsiTheme="minorHAnsi" w:cstheme="minorHAnsi"/>
          <w:sz w:val="16"/>
          <w:szCs w:val="16"/>
        </w:rPr>
      </w:pPr>
      <w:r w:rsidRPr="00A92A3E">
        <w:rPr>
          <w:rFonts w:asciiTheme="minorHAnsi" w:hAnsiTheme="minorHAnsi" w:cstheme="minorHAnsi"/>
          <w:sz w:val="16"/>
          <w:szCs w:val="16"/>
        </w:rPr>
        <w:br w:type="page"/>
      </w:r>
    </w:p>
    <w:p w14:paraId="4F9D5943" w14:textId="77777777" w:rsidR="00500AE2" w:rsidRPr="00A92A3E" w:rsidRDefault="00500AE2" w:rsidP="00F91A93">
      <w:pPr>
        <w:pStyle w:val="Ttulo1"/>
        <w:rPr>
          <w:rFonts w:asciiTheme="minorHAnsi" w:hAnsiTheme="minorHAnsi" w:cstheme="minorHAnsi"/>
          <w:sz w:val="16"/>
          <w:szCs w:val="16"/>
        </w:rPr>
      </w:pPr>
      <w:bookmarkStart w:id="129" w:name="_Toc118105166"/>
      <w:bookmarkStart w:id="130" w:name="_Toc150330301"/>
      <w:r w:rsidRPr="00A92A3E">
        <w:rPr>
          <w:rFonts w:asciiTheme="minorHAnsi" w:hAnsiTheme="minorHAnsi" w:cstheme="minorHAnsi"/>
          <w:sz w:val="16"/>
          <w:szCs w:val="16"/>
        </w:rPr>
        <w:lastRenderedPageBreak/>
        <w:t>FONTES PRIMÁRIAS DE INFORMAÇÕES</w:t>
      </w:r>
      <w:bookmarkEnd w:id="129"/>
      <w:bookmarkEnd w:id="130"/>
    </w:p>
    <w:p w14:paraId="62763162"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Como os procedimentos de marcação a mercado são diários, como norma e sempre que possível, adotam-se preços e cotações das seguintes fontes:</w:t>
      </w:r>
    </w:p>
    <w:p w14:paraId="6B5178D5" w14:textId="77777777" w:rsidR="00500AE2" w:rsidRPr="00A92A3E" w:rsidRDefault="00500AE2" w:rsidP="00F5523C">
      <w:pPr>
        <w:pStyle w:val="PargrafodaLista"/>
        <w:numPr>
          <w:ilvl w:val="0"/>
          <w:numId w:val="7"/>
        </w:numPr>
        <w:rPr>
          <w:rFonts w:asciiTheme="minorHAnsi" w:hAnsiTheme="minorHAnsi" w:cstheme="minorHAnsi"/>
          <w:sz w:val="16"/>
          <w:szCs w:val="16"/>
        </w:rPr>
      </w:pPr>
      <w:r w:rsidRPr="00A92A3E">
        <w:rPr>
          <w:rFonts w:asciiTheme="minorHAnsi" w:hAnsiTheme="minorHAnsi" w:cstheme="minorHAnsi"/>
          <w:sz w:val="16"/>
          <w:szCs w:val="16"/>
        </w:rPr>
        <w:t>Títulos Públicos Federais e debêntures: Taxas Indicativas da ANBIMA – Associação Brasileira das Entidades dos Mercados Financeiros e de Capitais (https://www.anbima.com.br/pt_br/informar/taxas-de-titulos-publicos.htm);</w:t>
      </w:r>
    </w:p>
    <w:p w14:paraId="2F95635D" w14:textId="77777777" w:rsidR="00500AE2" w:rsidRPr="00A92A3E" w:rsidRDefault="00500AE2" w:rsidP="00500AE2">
      <w:pPr>
        <w:pStyle w:val="PargrafodaLista"/>
        <w:rPr>
          <w:rFonts w:asciiTheme="minorHAnsi" w:hAnsiTheme="minorHAnsi" w:cstheme="minorHAnsi"/>
          <w:sz w:val="16"/>
          <w:szCs w:val="16"/>
        </w:rPr>
      </w:pPr>
    </w:p>
    <w:p w14:paraId="1111B47D" w14:textId="77777777" w:rsidR="00500AE2" w:rsidRPr="00A92A3E" w:rsidRDefault="00500AE2" w:rsidP="00F5523C">
      <w:pPr>
        <w:pStyle w:val="PargrafodaLista"/>
        <w:numPr>
          <w:ilvl w:val="0"/>
          <w:numId w:val="7"/>
        </w:numPr>
        <w:rPr>
          <w:rFonts w:asciiTheme="minorHAnsi" w:hAnsiTheme="minorHAnsi" w:cstheme="minorHAnsi"/>
          <w:sz w:val="16"/>
          <w:szCs w:val="16"/>
        </w:rPr>
      </w:pPr>
      <w:r w:rsidRPr="00A92A3E">
        <w:rPr>
          <w:rFonts w:asciiTheme="minorHAnsi" w:hAnsiTheme="minorHAnsi" w:cstheme="minorHAnsi"/>
          <w:sz w:val="16"/>
          <w:szCs w:val="16"/>
        </w:rPr>
        <w:t>Cotas de fundos de investimentos: Comissão de Valores Mobiliários – CVM (http://www.cvm.gov.br/menu/regulados/fundos/consultas/fundos.html);</w:t>
      </w:r>
    </w:p>
    <w:p w14:paraId="6F45E0BF" w14:textId="77777777" w:rsidR="00500AE2" w:rsidRPr="00A92A3E" w:rsidRDefault="00500AE2" w:rsidP="00500AE2">
      <w:pPr>
        <w:pStyle w:val="PargrafodaLista"/>
        <w:rPr>
          <w:rFonts w:asciiTheme="minorHAnsi" w:hAnsiTheme="minorHAnsi" w:cstheme="minorHAnsi"/>
          <w:sz w:val="16"/>
          <w:szCs w:val="16"/>
        </w:rPr>
      </w:pPr>
    </w:p>
    <w:p w14:paraId="66CBE836" w14:textId="77777777" w:rsidR="00500AE2" w:rsidRPr="00A92A3E" w:rsidRDefault="00500AE2" w:rsidP="00F5523C">
      <w:pPr>
        <w:pStyle w:val="PargrafodaLista"/>
        <w:numPr>
          <w:ilvl w:val="0"/>
          <w:numId w:val="7"/>
        </w:numPr>
        <w:rPr>
          <w:rFonts w:asciiTheme="minorHAnsi" w:hAnsiTheme="minorHAnsi" w:cstheme="minorHAnsi"/>
          <w:sz w:val="16"/>
          <w:szCs w:val="16"/>
        </w:rPr>
      </w:pPr>
      <w:r w:rsidRPr="00A92A3E">
        <w:rPr>
          <w:rFonts w:asciiTheme="minorHAnsi" w:hAnsiTheme="minorHAnsi" w:cstheme="minorHAnsi"/>
          <w:sz w:val="16"/>
          <w:szCs w:val="16"/>
        </w:rPr>
        <w:t>Valor Nominal Atualizado: Valor Nominal Atualizado ANBIMA - Associação Brasileira das Entidades dos Mercados Financeiros e de Capitais (https://www.anbima.com.br/pt_br/informar/valor-nominal-atualizado.htm);</w:t>
      </w:r>
    </w:p>
    <w:p w14:paraId="37983DF4" w14:textId="77777777" w:rsidR="00500AE2" w:rsidRPr="00A92A3E" w:rsidRDefault="00500AE2" w:rsidP="00500AE2">
      <w:pPr>
        <w:pStyle w:val="PargrafodaLista"/>
        <w:rPr>
          <w:rFonts w:asciiTheme="minorHAnsi" w:hAnsiTheme="minorHAnsi" w:cstheme="minorHAnsi"/>
          <w:sz w:val="16"/>
          <w:szCs w:val="16"/>
        </w:rPr>
      </w:pPr>
    </w:p>
    <w:p w14:paraId="668D876A" w14:textId="77777777" w:rsidR="00500AE2" w:rsidRPr="00A92A3E" w:rsidRDefault="00500AE2" w:rsidP="00F5523C">
      <w:pPr>
        <w:pStyle w:val="PargrafodaLista"/>
        <w:numPr>
          <w:ilvl w:val="0"/>
          <w:numId w:val="7"/>
        </w:numPr>
        <w:rPr>
          <w:rFonts w:asciiTheme="minorHAnsi" w:hAnsiTheme="minorHAnsi" w:cstheme="minorHAnsi"/>
          <w:sz w:val="16"/>
          <w:szCs w:val="16"/>
        </w:rPr>
      </w:pPr>
      <w:r w:rsidRPr="00A92A3E">
        <w:rPr>
          <w:rFonts w:asciiTheme="minorHAnsi" w:hAnsiTheme="minorHAnsi" w:cstheme="minorHAnsi"/>
          <w:sz w:val="16"/>
          <w:szCs w:val="16"/>
        </w:rPr>
        <w:t>Ações, opções sobre ações líquidas e termo de ações: BM&amp;FBOVESPA (http://www.bmfbovespa.com.br/pt_br/); e</w:t>
      </w:r>
    </w:p>
    <w:p w14:paraId="5E90DC2D" w14:textId="77777777" w:rsidR="00500AE2" w:rsidRPr="00A92A3E" w:rsidRDefault="00500AE2" w:rsidP="00500AE2">
      <w:pPr>
        <w:pStyle w:val="PargrafodaLista"/>
        <w:rPr>
          <w:rFonts w:asciiTheme="minorHAnsi" w:hAnsiTheme="minorHAnsi" w:cstheme="minorHAnsi"/>
          <w:sz w:val="16"/>
          <w:szCs w:val="16"/>
        </w:rPr>
      </w:pPr>
    </w:p>
    <w:p w14:paraId="318BC45C" w14:textId="0E1C82AF" w:rsidR="00500AE2" w:rsidRPr="0072415A" w:rsidRDefault="00500AE2" w:rsidP="00184B6A">
      <w:pPr>
        <w:pStyle w:val="PargrafodaLista"/>
        <w:numPr>
          <w:ilvl w:val="0"/>
          <w:numId w:val="7"/>
        </w:numPr>
        <w:rPr>
          <w:rFonts w:asciiTheme="minorHAnsi" w:hAnsiTheme="minorHAnsi" w:cstheme="minorHAnsi"/>
          <w:sz w:val="16"/>
          <w:szCs w:val="16"/>
        </w:rPr>
      </w:pPr>
      <w:r w:rsidRPr="0072415A">
        <w:rPr>
          <w:rFonts w:asciiTheme="minorHAnsi" w:hAnsiTheme="minorHAnsi" w:cstheme="minorHAnsi"/>
          <w:sz w:val="16"/>
          <w:szCs w:val="16"/>
        </w:rPr>
        <w:t>Certificado de Depósito Bancário – CDB: CETIP (http://www.b3.com.br/pt_br/).</w:t>
      </w:r>
    </w:p>
    <w:p w14:paraId="59F8C0C8" w14:textId="77777777" w:rsidR="00500AE2" w:rsidRPr="00A92A3E" w:rsidRDefault="00500AE2" w:rsidP="00F91A93">
      <w:pPr>
        <w:pStyle w:val="Ttulo1"/>
        <w:rPr>
          <w:rFonts w:asciiTheme="minorHAnsi" w:hAnsiTheme="minorHAnsi" w:cstheme="minorHAnsi"/>
          <w:sz w:val="16"/>
          <w:szCs w:val="16"/>
        </w:rPr>
      </w:pPr>
      <w:bookmarkStart w:id="131" w:name="_Toc118105167"/>
      <w:bookmarkStart w:id="132" w:name="_Toc150330302"/>
      <w:r w:rsidRPr="00A92A3E">
        <w:rPr>
          <w:rFonts w:asciiTheme="minorHAnsi" w:hAnsiTheme="minorHAnsi" w:cstheme="minorHAnsi"/>
          <w:sz w:val="16"/>
          <w:szCs w:val="16"/>
        </w:rPr>
        <w:t>POLÍTICA DE ACOMPANHAMENTO E AVALIAÇÃO</w:t>
      </w:r>
      <w:bookmarkEnd w:id="131"/>
      <w:bookmarkEnd w:id="132"/>
    </w:p>
    <w:p w14:paraId="37089DCF"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Para o acompanhamento e avaliação dos resultados da carteira de investimento e de seus respectivos fundos de investimentos, serão adotados metodologias e critérios que atendam conjuntamente as normativas expedidas pelos órgãos fiscalizadores e reguladores.</w:t>
      </w:r>
    </w:p>
    <w:p w14:paraId="609AF047" w14:textId="081A9DEF"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Como forma de acompanhamento, será obrigatório a elaboração de relatórios mensais, que contemple no mínimo informações sobre a rentabilidade e riscos das diversas modalidades de operações realizadas quanto as aplicações dos recursos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sz w:val="16"/>
          <w:szCs w:val="16"/>
        </w:rPr>
        <w:t>, bem como a aderência das alocações e dos processos decisórios relacionados.</w:t>
      </w:r>
    </w:p>
    <w:p w14:paraId="3300CB14"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 referido relatório mensal deverá ser acompanhado de parecer do Comitê de Investimentos, que deverá apresentar a análise dos resultados obtidos no mês de referência, inclusive suas considerações e deliberações.</w:t>
      </w:r>
    </w:p>
    <w:p w14:paraId="407B9EB3"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 Comitê de Investimentos deverá apresentar no mínimo o plano de ação com o cronograma das atividades a serem desempenhadas relativas à gestão dos recursos.</w:t>
      </w:r>
    </w:p>
    <w:p w14:paraId="61840A19"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Deverão fazer parte dos documentos do processo de acompanhamento e avaliação:</w:t>
      </w:r>
    </w:p>
    <w:p w14:paraId="21844F74" w14:textId="77777777" w:rsidR="00500AE2" w:rsidRPr="00A92A3E" w:rsidRDefault="00500AE2" w:rsidP="00F5523C">
      <w:pPr>
        <w:pStyle w:val="PargrafodaLista"/>
        <w:numPr>
          <w:ilvl w:val="0"/>
          <w:numId w:val="8"/>
        </w:numPr>
        <w:rPr>
          <w:rFonts w:asciiTheme="minorHAnsi" w:hAnsiTheme="minorHAnsi" w:cstheme="minorHAnsi"/>
          <w:sz w:val="16"/>
          <w:szCs w:val="16"/>
        </w:rPr>
      </w:pPr>
      <w:r w:rsidRPr="00A92A3E">
        <w:rPr>
          <w:rFonts w:asciiTheme="minorHAnsi" w:hAnsiTheme="minorHAnsi" w:cstheme="minorHAnsi"/>
          <w:sz w:val="16"/>
          <w:szCs w:val="16"/>
        </w:rPr>
        <w:t>Editorial sobre o panorama econômico relativo à semana e mês anterior;</w:t>
      </w:r>
    </w:p>
    <w:p w14:paraId="6BE8DDF8" w14:textId="77777777" w:rsidR="00500AE2" w:rsidRPr="00A92A3E" w:rsidRDefault="00500AE2" w:rsidP="00500AE2">
      <w:pPr>
        <w:pStyle w:val="PargrafodaLista"/>
        <w:jc w:val="center"/>
        <w:rPr>
          <w:rFonts w:asciiTheme="minorHAnsi" w:hAnsiTheme="minorHAnsi" w:cstheme="minorHAnsi"/>
          <w:sz w:val="16"/>
          <w:szCs w:val="16"/>
        </w:rPr>
      </w:pPr>
    </w:p>
    <w:p w14:paraId="5F986236" w14:textId="4872BB5B" w:rsidR="00500AE2" w:rsidRPr="00A92A3E" w:rsidRDefault="00500AE2" w:rsidP="00F5523C">
      <w:pPr>
        <w:pStyle w:val="PargrafodaLista"/>
        <w:numPr>
          <w:ilvl w:val="0"/>
          <w:numId w:val="8"/>
        </w:numPr>
        <w:rPr>
          <w:rFonts w:asciiTheme="minorHAnsi" w:hAnsiTheme="minorHAnsi" w:cstheme="minorHAnsi"/>
          <w:sz w:val="16"/>
          <w:szCs w:val="16"/>
        </w:rPr>
      </w:pPr>
      <w:r w:rsidRPr="00A92A3E">
        <w:rPr>
          <w:rFonts w:asciiTheme="minorHAnsi" w:hAnsiTheme="minorHAnsi" w:cstheme="minorHAnsi"/>
          <w:sz w:val="16"/>
          <w:szCs w:val="16"/>
        </w:rPr>
        <w:t xml:space="preserve">Relatório Mensal que contém: análise qualitativa da situação da carteira em relação à composição, rentabilidade, enquadramentos, aderência à Política de Investimentos, riscos; análise quantitativa baseada em dados históricos e ilustrada por comparativos gráficos; cumprindo a exigência da Portaria </w:t>
      </w:r>
      <w:r w:rsidR="000A5628" w:rsidRPr="00A92A3E">
        <w:rPr>
          <w:rFonts w:asciiTheme="minorHAnsi" w:hAnsiTheme="minorHAnsi" w:cstheme="minorHAnsi"/>
          <w:sz w:val="16"/>
          <w:szCs w:val="16"/>
        </w:rPr>
        <w:t xml:space="preserve">MTP nº </w:t>
      </w:r>
      <w:r w:rsidRPr="00A92A3E">
        <w:rPr>
          <w:rFonts w:asciiTheme="minorHAnsi" w:hAnsiTheme="minorHAnsi" w:cstheme="minorHAnsi"/>
          <w:sz w:val="16"/>
          <w:szCs w:val="16"/>
        </w:rPr>
        <w:t>1.467</w:t>
      </w:r>
      <w:r w:rsidR="008D76B6" w:rsidRPr="00A92A3E">
        <w:rPr>
          <w:rFonts w:asciiTheme="minorHAnsi" w:hAnsiTheme="minorHAnsi" w:cstheme="minorHAnsi"/>
          <w:sz w:val="16"/>
          <w:szCs w:val="16"/>
        </w:rPr>
        <w:t>/</w:t>
      </w:r>
      <w:r w:rsidRPr="00A92A3E">
        <w:rPr>
          <w:rFonts w:asciiTheme="minorHAnsi" w:hAnsiTheme="minorHAnsi" w:cstheme="minorHAnsi"/>
          <w:sz w:val="16"/>
          <w:szCs w:val="16"/>
        </w:rPr>
        <w:t>2022.</w:t>
      </w:r>
    </w:p>
    <w:p w14:paraId="73FC99D7" w14:textId="77777777" w:rsidR="00500AE2" w:rsidRPr="00A92A3E" w:rsidRDefault="00500AE2" w:rsidP="00500AE2">
      <w:pPr>
        <w:pStyle w:val="PargrafodaLista"/>
        <w:rPr>
          <w:rFonts w:asciiTheme="minorHAnsi" w:hAnsiTheme="minorHAnsi" w:cstheme="minorHAnsi"/>
          <w:sz w:val="16"/>
          <w:szCs w:val="16"/>
        </w:rPr>
      </w:pPr>
    </w:p>
    <w:p w14:paraId="4DC0438F" w14:textId="77777777" w:rsidR="00500AE2" w:rsidRPr="00A92A3E" w:rsidRDefault="00500AE2" w:rsidP="00F5523C">
      <w:pPr>
        <w:pStyle w:val="PargrafodaLista"/>
        <w:numPr>
          <w:ilvl w:val="0"/>
          <w:numId w:val="8"/>
        </w:numPr>
        <w:rPr>
          <w:rFonts w:asciiTheme="minorHAnsi" w:hAnsiTheme="minorHAnsi" w:cstheme="minorHAnsi"/>
          <w:sz w:val="16"/>
          <w:szCs w:val="16"/>
        </w:rPr>
      </w:pPr>
      <w:r w:rsidRPr="00A92A3E">
        <w:rPr>
          <w:rFonts w:asciiTheme="minorHAnsi" w:hAnsiTheme="minorHAnsi" w:cstheme="minorHAnsi"/>
          <w:sz w:val="16"/>
          <w:szCs w:val="16"/>
        </w:rPr>
        <w:t>Relatório de Análise de Fundos de Investimentos classificados a ICVM 555/2014 que contém: análise de regulamento, enquadramento, prospecto (quando houver) e parecer opinativo;</w:t>
      </w:r>
    </w:p>
    <w:p w14:paraId="63EC96D8" w14:textId="77777777" w:rsidR="00500AE2" w:rsidRPr="00A92A3E" w:rsidRDefault="00500AE2" w:rsidP="00500AE2">
      <w:pPr>
        <w:pStyle w:val="PargrafodaLista"/>
        <w:rPr>
          <w:rFonts w:asciiTheme="minorHAnsi" w:hAnsiTheme="minorHAnsi" w:cstheme="minorHAnsi"/>
          <w:sz w:val="16"/>
          <w:szCs w:val="16"/>
        </w:rPr>
      </w:pPr>
    </w:p>
    <w:p w14:paraId="0663CAC4" w14:textId="77777777" w:rsidR="00500AE2" w:rsidRPr="00A92A3E" w:rsidRDefault="00500AE2" w:rsidP="00F5523C">
      <w:pPr>
        <w:pStyle w:val="PargrafodaLista"/>
        <w:numPr>
          <w:ilvl w:val="0"/>
          <w:numId w:val="8"/>
        </w:numPr>
        <w:rPr>
          <w:rFonts w:asciiTheme="minorHAnsi" w:hAnsiTheme="minorHAnsi" w:cstheme="minorHAnsi"/>
          <w:sz w:val="16"/>
          <w:szCs w:val="16"/>
        </w:rPr>
      </w:pPr>
      <w:r w:rsidRPr="00A92A3E">
        <w:rPr>
          <w:rFonts w:asciiTheme="minorHAnsi" w:hAnsiTheme="minorHAnsi" w:cstheme="minorHAnsi"/>
          <w:sz w:val="16"/>
          <w:szCs w:val="16"/>
        </w:rPr>
        <w:t>Relatório de Análise de Fundos de Investimentos classificados como “Estruturados” que contém: análise de regulamento, enquadramento, prospecto (quando houver) e parecer opinativo e</w:t>
      </w:r>
    </w:p>
    <w:p w14:paraId="3D668311" w14:textId="77777777" w:rsidR="00500AE2" w:rsidRPr="00A92A3E" w:rsidRDefault="00500AE2" w:rsidP="00500AE2">
      <w:pPr>
        <w:pStyle w:val="PargrafodaLista"/>
        <w:rPr>
          <w:rFonts w:asciiTheme="minorHAnsi" w:hAnsiTheme="minorHAnsi" w:cstheme="minorHAnsi"/>
          <w:sz w:val="16"/>
          <w:szCs w:val="16"/>
        </w:rPr>
      </w:pPr>
    </w:p>
    <w:p w14:paraId="580C0A7F" w14:textId="00B386CB" w:rsidR="00500AE2" w:rsidRPr="0072415A" w:rsidRDefault="00500AE2" w:rsidP="00184B6A">
      <w:pPr>
        <w:pStyle w:val="PargrafodaLista"/>
        <w:numPr>
          <w:ilvl w:val="0"/>
          <w:numId w:val="8"/>
        </w:numPr>
        <w:jc w:val="left"/>
        <w:rPr>
          <w:rFonts w:asciiTheme="minorHAnsi" w:hAnsiTheme="minorHAnsi" w:cstheme="minorHAnsi"/>
          <w:sz w:val="16"/>
          <w:szCs w:val="16"/>
        </w:rPr>
      </w:pPr>
      <w:r w:rsidRPr="0072415A">
        <w:rPr>
          <w:rFonts w:asciiTheme="minorHAnsi" w:hAnsiTheme="minorHAnsi" w:cstheme="minorHAnsi"/>
          <w:sz w:val="16"/>
          <w:szCs w:val="16"/>
        </w:rPr>
        <w:t>Relatório de Análise da Carteira de Investimentos com parecer opinativo sobre estratégia tática.</w:t>
      </w:r>
    </w:p>
    <w:p w14:paraId="60FB99EE" w14:textId="77777777" w:rsidR="00500AE2" w:rsidRPr="00A92A3E" w:rsidRDefault="00500AE2" w:rsidP="00F91A93">
      <w:pPr>
        <w:pStyle w:val="Ttulo1"/>
        <w:rPr>
          <w:rFonts w:asciiTheme="minorHAnsi" w:hAnsiTheme="minorHAnsi" w:cstheme="minorHAnsi"/>
          <w:sz w:val="16"/>
          <w:szCs w:val="16"/>
        </w:rPr>
      </w:pPr>
      <w:bookmarkStart w:id="133" w:name="_Toc118105168"/>
      <w:bookmarkStart w:id="134" w:name="_Toc150330303"/>
      <w:r w:rsidRPr="00A92A3E">
        <w:rPr>
          <w:rFonts w:asciiTheme="minorHAnsi" w:hAnsiTheme="minorHAnsi" w:cstheme="minorHAnsi"/>
          <w:sz w:val="16"/>
          <w:szCs w:val="16"/>
        </w:rPr>
        <w:t>PLANO DE CONTINGÊNCIA</w:t>
      </w:r>
      <w:bookmarkEnd w:id="133"/>
      <w:bookmarkEnd w:id="134"/>
    </w:p>
    <w:p w14:paraId="2F4D199A"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O Plano de Contingência estabelecido, contempla a abrangência exigida pela Resolução CMN n° 4.963/2021, em seu Art. 4°, inciso VIII, ou seja, entende-se por “contingência” no âmbito desta Política de Investimentos a </w:t>
      </w:r>
      <w:r w:rsidRPr="00A92A3E">
        <w:rPr>
          <w:rFonts w:asciiTheme="minorHAnsi" w:hAnsiTheme="minorHAnsi" w:cstheme="minorHAnsi"/>
          <w:b/>
          <w:sz w:val="16"/>
          <w:szCs w:val="16"/>
        </w:rPr>
        <w:t>excessiva exposição a riscos e potenciais perdas dos recursos</w:t>
      </w:r>
      <w:r w:rsidRPr="00A92A3E">
        <w:rPr>
          <w:rFonts w:asciiTheme="minorHAnsi" w:hAnsiTheme="minorHAnsi" w:cstheme="minorHAnsi"/>
          <w:sz w:val="16"/>
          <w:szCs w:val="16"/>
        </w:rPr>
        <w:t>.</w:t>
      </w:r>
    </w:p>
    <w:p w14:paraId="2D7691D9" w14:textId="0246C38F" w:rsidR="00635488"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Com a identificação clara das contingências, chegamos ao desenvolvimento do plano no processo dos investimentos, que abrange não somente a Diretoria Executiva e Gestor dos Recursos, como também o Comitê de Investimentos e o Conselho Deliberativo.</w:t>
      </w:r>
    </w:p>
    <w:p w14:paraId="7F97EAE4" w14:textId="76FCACC7" w:rsidR="00500AE2" w:rsidRPr="00A92A3E" w:rsidRDefault="006566DB" w:rsidP="00F91A93">
      <w:pPr>
        <w:pStyle w:val="Ttulo2"/>
        <w:rPr>
          <w:rFonts w:asciiTheme="minorHAnsi" w:hAnsiTheme="minorHAnsi" w:cstheme="minorHAnsi"/>
          <w:sz w:val="16"/>
          <w:szCs w:val="16"/>
        </w:rPr>
      </w:pPr>
      <w:bookmarkStart w:id="135" w:name="_Toc118105169"/>
      <w:r w:rsidRPr="00A92A3E">
        <w:rPr>
          <w:rFonts w:asciiTheme="minorHAnsi" w:hAnsiTheme="minorHAnsi" w:cstheme="minorHAnsi"/>
          <w:sz w:val="16"/>
          <w:szCs w:val="16"/>
        </w:rPr>
        <w:t>Exposição</w:t>
      </w:r>
      <w:r w:rsidR="00FD5D67" w:rsidRPr="00A92A3E">
        <w:rPr>
          <w:rFonts w:asciiTheme="minorHAnsi" w:hAnsiTheme="minorHAnsi" w:cstheme="minorHAnsi"/>
          <w:sz w:val="16"/>
          <w:szCs w:val="16"/>
        </w:rPr>
        <w:t xml:space="preserve"> Excessiva</w:t>
      </w:r>
      <w:r w:rsidRPr="00A92A3E">
        <w:rPr>
          <w:rFonts w:asciiTheme="minorHAnsi" w:hAnsiTheme="minorHAnsi" w:cstheme="minorHAnsi"/>
          <w:sz w:val="16"/>
          <w:szCs w:val="16"/>
        </w:rPr>
        <w:t xml:space="preserve"> a Risco</w:t>
      </w:r>
      <w:bookmarkEnd w:id="135"/>
    </w:p>
    <w:p w14:paraId="021B22EB" w14:textId="5674A541"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 xml:space="preserve">Entende-se como Exposição a Risco os investimentos que direcionam a carteira de investimentos do </w:t>
      </w:r>
      <w:r w:rsidR="00B53180">
        <w:rPr>
          <w:rStyle w:val="paragrafo"/>
          <w:rFonts w:asciiTheme="minorHAnsi" w:hAnsiTheme="minorHAnsi" w:cstheme="minorHAnsi"/>
          <w:b/>
          <w:bCs/>
          <w:sz w:val="16"/>
          <w:szCs w:val="16"/>
        </w:rPr>
        <w:t>FUNDO ESPECIAL DE PREVIDÊNCIA SOCIAL DE JAGUARIÚNA</w:t>
      </w:r>
      <w:r w:rsidR="00DD570F" w:rsidRPr="00A92A3E">
        <w:rPr>
          <w:rFonts w:asciiTheme="minorHAnsi" w:hAnsiTheme="minorHAnsi" w:cstheme="minorHAnsi"/>
          <w:sz w:val="16"/>
          <w:szCs w:val="16"/>
        </w:rPr>
        <w:t xml:space="preserve"> </w:t>
      </w:r>
      <w:r w:rsidRPr="00A92A3E">
        <w:rPr>
          <w:rFonts w:asciiTheme="minorHAnsi" w:hAnsiTheme="minorHAnsi" w:cstheme="minorHAnsi"/>
          <w:sz w:val="16"/>
          <w:szCs w:val="16"/>
        </w:rPr>
        <w:t>para o não cumprimento dos limites, requisitos e normas estabelecidos aos Regimes Próprios de Previdência Social.</w:t>
      </w:r>
    </w:p>
    <w:p w14:paraId="66174F09"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O não cumprimento dos limites, requisitos e normas estabelecidos, podem ser classificados como sendo:</w:t>
      </w:r>
    </w:p>
    <w:p w14:paraId="273FF8EB" w14:textId="77777777" w:rsidR="00500AE2" w:rsidRPr="00A92A3E" w:rsidRDefault="00500AE2" w:rsidP="000160BE">
      <w:pPr>
        <w:pStyle w:val="PargrafodaLista"/>
        <w:numPr>
          <w:ilvl w:val="0"/>
          <w:numId w:val="2"/>
        </w:numPr>
        <w:rPr>
          <w:rFonts w:asciiTheme="minorHAnsi" w:hAnsiTheme="minorHAnsi" w:cstheme="minorHAnsi"/>
          <w:sz w:val="16"/>
          <w:szCs w:val="16"/>
        </w:rPr>
      </w:pPr>
      <w:r w:rsidRPr="00A92A3E">
        <w:rPr>
          <w:rFonts w:asciiTheme="minorHAnsi" w:hAnsiTheme="minorHAnsi" w:cstheme="minorHAnsi"/>
          <w:sz w:val="16"/>
          <w:szCs w:val="16"/>
        </w:rPr>
        <w:t>Desenquadramento da Carteira de Investimentos;</w:t>
      </w:r>
    </w:p>
    <w:p w14:paraId="5C3D2862" w14:textId="77777777" w:rsidR="00500AE2" w:rsidRPr="00A92A3E" w:rsidRDefault="00500AE2" w:rsidP="000160BE">
      <w:pPr>
        <w:pStyle w:val="PargrafodaLista"/>
        <w:numPr>
          <w:ilvl w:val="0"/>
          <w:numId w:val="2"/>
        </w:numPr>
        <w:rPr>
          <w:rFonts w:asciiTheme="minorHAnsi" w:hAnsiTheme="minorHAnsi" w:cstheme="minorHAnsi"/>
          <w:sz w:val="16"/>
          <w:szCs w:val="16"/>
        </w:rPr>
      </w:pPr>
      <w:r w:rsidRPr="00A92A3E">
        <w:rPr>
          <w:rFonts w:asciiTheme="minorHAnsi" w:hAnsiTheme="minorHAnsi" w:cstheme="minorHAnsi"/>
          <w:sz w:val="16"/>
          <w:szCs w:val="16"/>
        </w:rPr>
        <w:t>Desenquadramento do Fundo de Investimento;</w:t>
      </w:r>
    </w:p>
    <w:p w14:paraId="31432FB6" w14:textId="77777777" w:rsidR="00500AE2" w:rsidRPr="00A92A3E" w:rsidRDefault="00500AE2" w:rsidP="000160BE">
      <w:pPr>
        <w:pStyle w:val="PargrafodaLista"/>
        <w:numPr>
          <w:ilvl w:val="0"/>
          <w:numId w:val="2"/>
        </w:numPr>
        <w:rPr>
          <w:rFonts w:asciiTheme="minorHAnsi" w:hAnsiTheme="minorHAnsi" w:cstheme="minorHAnsi"/>
          <w:sz w:val="16"/>
          <w:szCs w:val="16"/>
        </w:rPr>
      </w:pPr>
      <w:r w:rsidRPr="00A92A3E">
        <w:rPr>
          <w:rFonts w:asciiTheme="minorHAnsi" w:hAnsiTheme="minorHAnsi" w:cstheme="minorHAnsi"/>
          <w:sz w:val="16"/>
          <w:szCs w:val="16"/>
        </w:rPr>
        <w:lastRenderedPageBreak/>
        <w:t>Desenquadramento da Política de Investimentos;</w:t>
      </w:r>
    </w:p>
    <w:p w14:paraId="798A3979" w14:textId="77777777" w:rsidR="00500AE2" w:rsidRPr="00A92A3E" w:rsidRDefault="00500AE2" w:rsidP="000160BE">
      <w:pPr>
        <w:pStyle w:val="PargrafodaLista"/>
        <w:numPr>
          <w:ilvl w:val="0"/>
          <w:numId w:val="2"/>
        </w:numPr>
        <w:rPr>
          <w:rFonts w:asciiTheme="minorHAnsi" w:hAnsiTheme="minorHAnsi" w:cstheme="minorHAnsi"/>
          <w:sz w:val="16"/>
          <w:szCs w:val="16"/>
        </w:rPr>
      </w:pPr>
      <w:r w:rsidRPr="00A92A3E">
        <w:rPr>
          <w:rFonts w:asciiTheme="minorHAnsi" w:hAnsiTheme="minorHAnsi" w:cstheme="minorHAnsi"/>
          <w:sz w:val="16"/>
          <w:szCs w:val="16"/>
        </w:rPr>
        <w:t>Movimentações Financeiras não autorizadas;</w:t>
      </w:r>
    </w:p>
    <w:p w14:paraId="46CBC76D" w14:textId="77777777" w:rsidR="00500AE2" w:rsidRPr="00A92A3E" w:rsidRDefault="00500AE2" w:rsidP="00500AE2">
      <w:pPr>
        <w:rPr>
          <w:rFonts w:asciiTheme="minorHAnsi" w:hAnsiTheme="minorHAnsi" w:cstheme="minorHAnsi"/>
          <w:sz w:val="16"/>
          <w:szCs w:val="16"/>
        </w:rPr>
      </w:pPr>
      <w:r w:rsidRPr="00A92A3E">
        <w:rPr>
          <w:rFonts w:asciiTheme="minorHAnsi" w:hAnsiTheme="minorHAnsi" w:cstheme="minorHAnsi"/>
          <w:sz w:val="16"/>
          <w:szCs w:val="16"/>
        </w:rPr>
        <w:t>Caso identificado o não cumprimento dos itens descritos, ficam os responsáveis pelos investimentos, devidamente definidos nesta Política de Investimentos, obrigados a:</w:t>
      </w:r>
    </w:p>
    <w:tbl>
      <w:tblPr>
        <w:tblStyle w:val="Tabelacomgrade"/>
        <w:tblW w:w="5000" w:type="pct"/>
        <w:tblLook w:val="04A0" w:firstRow="1" w:lastRow="0" w:firstColumn="1" w:lastColumn="0" w:noHBand="0" w:noVBand="1"/>
      </w:tblPr>
      <w:tblGrid>
        <w:gridCol w:w="2864"/>
        <w:gridCol w:w="2839"/>
        <w:gridCol w:w="2791"/>
      </w:tblGrid>
      <w:tr w:rsidR="00500AE2" w:rsidRPr="00A92A3E" w14:paraId="554C1AE2" w14:textId="77777777" w:rsidTr="00184B6A">
        <w:tc>
          <w:tcPr>
            <w:tcW w:w="1686" w:type="pct"/>
          </w:tcPr>
          <w:p w14:paraId="12AE6CCE" w14:textId="77777777" w:rsidR="00500AE2" w:rsidRPr="00A92A3E" w:rsidRDefault="00500AE2" w:rsidP="00F91A93">
            <w:pPr>
              <w:spacing w:before="0" w:after="0"/>
              <w:jc w:val="center"/>
              <w:rPr>
                <w:rFonts w:asciiTheme="minorHAnsi" w:hAnsiTheme="minorHAnsi" w:cstheme="minorHAnsi"/>
                <w:b/>
                <w:sz w:val="16"/>
                <w:szCs w:val="16"/>
              </w:rPr>
            </w:pPr>
            <w:r w:rsidRPr="00A92A3E">
              <w:rPr>
                <w:rFonts w:asciiTheme="minorHAnsi" w:hAnsiTheme="minorHAnsi" w:cstheme="minorHAnsi"/>
                <w:b/>
                <w:sz w:val="16"/>
                <w:szCs w:val="16"/>
              </w:rPr>
              <w:t>Contingências</w:t>
            </w:r>
          </w:p>
        </w:tc>
        <w:tc>
          <w:tcPr>
            <w:tcW w:w="1671" w:type="pct"/>
          </w:tcPr>
          <w:p w14:paraId="4890C3E5" w14:textId="77777777" w:rsidR="00500AE2" w:rsidRPr="00A92A3E" w:rsidRDefault="00500AE2" w:rsidP="00F91A93">
            <w:pPr>
              <w:spacing w:before="0" w:after="0"/>
              <w:jc w:val="center"/>
              <w:rPr>
                <w:rFonts w:asciiTheme="minorHAnsi" w:hAnsiTheme="minorHAnsi" w:cstheme="minorHAnsi"/>
                <w:b/>
                <w:sz w:val="16"/>
                <w:szCs w:val="16"/>
              </w:rPr>
            </w:pPr>
            <w:r w:rsidRPr="00A92A3E">
              <w:rPr>
                <w:rFonts w:asciiTheme="minorHAnsi" w:hAnsiTheme="minorHAnsi" w:cstheme="minorHAnsi"/>
                <w:b/>
                <w:sz w:val="16"/>
                <w:szCs w:val="16"/>
              </w:rPr>
              <w:t>Medidas</w:t>
            </w:r>
          </w:p>
        </w:tc>
        <w:tc>
          <w:tcPr>
            <w:tcW w:w="1643" w:type="pct"/>
          </w:tcPr>
          <w:p w14:paraId="74B816B5" w14:textId="77777777" w:rsidR="00500AE2" w:rsidRPr="00A92A3E" w:rsidRDefault="00500AE2" w:rsidP="00F91A93">
            <w:pPr>
              <w:spacing w:before="0" w:after="0"/>
              <w:jc w:val="center"/>
              <w:rPr>
                <w:rFonts w:asciiTheme="minorHAnsi" w:hAnsiTheme="minorHAnsi" w:cstheme="minorHAnsi"/>
                <w:b/>
                <w:sz w:val="16"/>
                <w:szCs w:val="16"/>
              </w:rPr>
            </w:pPr>
            <w:r w:rsidRPr="00A92A3E">
              <w:rPr>
                <w:rFonts w:asciiTheme="minorHAnsi" w:hAnsiTheme="minorHAnsi" w:cstheme="minorHAnsi"/>
                <w:b/>
                <w:sz w:val="16"/>
                <w:szCs w:val="16"/>
              </w:rPr>
              <w:t>Resolução</w:t>
            </w:r>
          </w:p>
        </w:tc>
      </w:tr>
      <w:tr w:rsidR="00500AE2" w:rsidRPr="00A92A3E" w14:paraId="6DA50E69" w14:textId="77777777" w:rsidTr="00184B6A">
        <w:tc>
          <w:tcPr>
            <w:tcW w:w="1686" w:type="pct"/>
            <w:vAlign w:val="center"/>
          </w:tcPr>
          <w:p w14:paraId="63B03720" w14:textId="77777777" w:rsidR="00500AE2" w:rsidRPr="00A92A3E" w:rsidRDefault="00500AE2" w:rsidP="00F91A93">
            <w:pPr>
              <w:spacing w:before="0" w:after="0"/>
              <w:jc w:val="left"/>
              <w:rPr>
                <w:rFonts w:asciiTheme="minorHAnsi" w:hAnsiTheme="minorHAnsi" w:cstheme="minorHAnsi"/>
                <w:sz w:val="16"/>
                <w:szCs w:val="16"/>
              </w:rPr>
            </w:pPr>
            <w:r w:rsidRPr="00A92A3E">
              <w:rPr>
                <w:rFonts w:asciiTheme="minorHAnsi" w:hAnsiTheme="minorHAnsi" w:cstheme="minorHAnsi"/>
                <w:sz w:val="16"/>
                <w:szCs w:val="16"/>
              </w:rPr>
              <w:t>1 – Desenquadramento da Carteira de Investimentos</w:t>
            </w:r>
          </w:p>
        </w:tc>
        <w:tc>
          <w:tcPr>
            <w:tcW w:w="1671" w:type="pct"/>
          </w:tcPr>
          <w:p w14:paraId="7A3FBD75"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a) Apuração das causas acompanhado de relatório;</w:t>
            </w:r>
          </w:p>
          <w:p w14:paraId="7A5434DA"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b) Identificação dos envolvidos a contar do início do processo;</w:t>
            </w:r>
          </w:p>
          <w:p w14:paraId="0B7C7913"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c) Estudo Técnico com a viabilidade para o enquadramento.</w:t>
            </w:r>
          </w:p>
        </w:tc>
        <w:tc>
          <w:tcPr>
            <w:tcW w:w="1643" w:type="pct"/>
            <w:vAlign w:val="center"/>
          </w:tcPr>
          <w:p w14:paraId="413D7457" w14:textId="77777777" w:rsidR="00500AE2" w:rsidRPr="00A92A3E" w:rsidRDefault="00500AE2" w:rsidP="00F91A93">
            <w:pPr>
              <w:spacing w:before="0" w:after="0"/>
              <w:jc w:val="left"/>
              <w:rPr>
                <w:rFonts w:asciiTheme="minorHAnsi" w:hAnsiTheme="minorHAnsi" w:cstheme="minorHAnsi"/>
                <w:sz w:val="16"/>
                <w:szCs w:val="16"/>
              </w:rPr>
            </w:pPr>
            <w:r w:rsidRPr="00A92A3E">
              <w:rPr>
                <w:rFonts w:asciiTheme="minorHAnsi" w:hAnsiTheme="minorHAnsi" w:cstheme="minorHAnsi"/>
                <w:sz w:val="16"/>
                <w:szCs w:val="16"/>
              </w:rPr>
              <w:t>Curto, Médio e Longo Prazo</w:t>
            </w:r>
          </w:p>
        </w:tc>
      </w:tr>
      <w:tr w:rsidR="00500AE2" w:rsidRPr="00A92A3E" w14:paraId="6DAE5850" w14:textId="77777777" w:rsidTr="00184B6A">
        <w:tc>
          <w:tcPr>
            <w:tcW w:w="1686" w:type="pct"/>
            <w:vAlign w:val="center"/>
          </w:tcPr>
          <w:p w14:paraId="7026C60E" w14:textId="77777777" w:rsidR="00500AE2" w:rsidRPr="00A92A3E" w:rsidRDefault="00500AE2" w:rsidP="00F91A93">
            <w:pPr>
              <w:spacing w:before="0" w:after="0"/>
              <w:jc w:val="left"/>
              <w:rPr>
                <w:rFonts w:asciiTheme="minorHAnsi" w:hAnsiTheme="minorHAnsi" w:cstheme="minorHAnsi"/>
                <w:sz w:val="16"/>
                <w:szCs w:val="16"/>
              </w:rPr>
            </w:pPr>
            <w:r w:rsidRPr="00A92A3E">
              <w:rPr>
                <w:rFonts w:asciiTheme="minorHAnsi" w:hAnsiTheme="minorHAnsi" w:cstheme="minorHAnsi"/>
                <w:sz w:val="16"/>
                <w:szCs w:val="16"/>
              </w:rPr>
              <w:t>2 – Desenquadramento do Fundo de Investimento</w:t>
            </w:r>
          </w:p>
        </w:tc>
        <w:tc>
          <w:tcPr>
            <w:tcW w:w="1671" w:type="pct"/>
          </w:tcPr>
          <w:p w14:paraId="1A89074A"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a) Apuração das causas acompanhado de relatório;</w:t>
            </w:r>
          </w:p>
          <w:p w14:paraId="15E973A2"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b) Identificação dos envolvidos a contar do início do processo;</w:t>
            </w:r>
          </w:p>
          <w:p w14:paraId="3805C7D9"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c) Estudo Técnico com a viabilidade para o enquadramento.</w:t>
            </w:r>
          </w:p>
        </w:tc>
        <w:tc>
          <w:tcPr>
            <w:tcW w:w="1643" w:type="pct"/>
            <w:vAlign w:val="center"/>
          </w:tcPr>
          <w:p w14:paraId="50D099EF" w14:textId="77777777" w:rsidR="00500AE2" w:rsidRPr="00A92A3E" w:rsidRDefault="00500AE2" w:rsidP="00F91A93">
            <w:pPr>
              <w:spacing w:before="0" w:after="0"/>
              <w:jc w:val="left"/>
              <w:rPr>
                <w:rFonts w:asciiTheme="minorHAnsi" w:hAnsiTheme="minorHAnsi" w:cstheme="minorHAnsi"/>
                <w:sz w:val="16"/>
                <w:szCs w:val="16"/>
              </w:rPr>
            </w:pPr>
            <w:r w:rsidRPr="00A92A3E">
              <w:rPr>
                <w:rFonts w:asciiTheme="minorHAnsi" w:hAnsiTheme="minorHAnsi" w:cstheme="minorHAnsi"/>
                <w:sz w:val="16"/>
                <w:szCs w:val="16"/>
              </w:rPr>
              <w:t>Curto, Médio e Longo Prazo</w:t>
            </w:r>
          </w:p>
        </w:tc>
      </w:tr>
      <w:tr w:rsidR="00500AE2" w:rsidRPr="00A92A3E" w14:paraId="352F2A09" w14:textId="77777777" w:rsidTr="00184B6A">
        <w:tc>
          <w:tcPr>
            <w:tcW w:w="1686" w:type="pct"/>
            <w:vAlign w:val="center"/>
          </w:tcPr>
          <w:p w14:paraId="547EE3E1" w14:textId="77777777" w:rsidR="00500AE2" w:rsidRPr="00A92A3E" w:rsidRDefault="00500AE2" w:rsidP="00F91A93">
            <w:pPr>
              <w:spacing w:before="0" w:after="0"/>
              <w:jc w:val="left"/>
              <w:rPr>
                <w:rFonts w:asciiTheme="minorHAnsi" w:hAnsiTheme="minorHAnsi" w:cstheme="minorHAnsi"/>
                <w:sz w:val="16"/>
                <w:szCs w:val="16"/>
              </w:rPr>
            </w:pPr>
            <w:r w:rsidRPr="00A92A3E">
              <w:rPr>
                <w:rFonts w:asciiTheme="minorHAnsi" w:hAnsiTheme="minorHAnsi" w:cstheme="minorHAnsi"/>
                <w:sz w:val="16"/>
                <w:szCs w:val="16"/>
              </w:rPr>
              <w:t>3 – Desenquadramento da Política de Investimentos</w:t>
            </w:r>
          </w:p>
        </w:tc>
        <w:tc>
          <w:tcPr>
            <w:tcW w:w="1671" w:type="pct"/>
          </w:tcPr>
          <w:p w14:paraId="22F92175"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a) Apuração das causas acompanhado de relatório;</w:t>
            </w:r>
          </w:p>
          <w:p w14:paraId="4A853C80"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b) Identificação dos envolvidos a contar do início do processo;</w:t>
            </w:r>
          </w:p>
          <w:p w14:paraId="746EE0C6"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c) Estudo Técnico com a viabilidade para o enquadramento.</w:t>
            </w:r>
          </w:p>
        </w:tc>
        <w:tc>
          <w:tcPr>
            <w:tcW w:w="1643" w:type="pct"/>
            <w:vAlign w:val="center"/>
          </w:tcPr>
          <w:p w14:paraId="5CB209CF" w14:textId="77777777" w:rsidR="00500AE2" w:rsidRPr="00A92A3E" w:rsidRDefault="00500AE2" w:rsidP="00F91A93">
            <w:pPr>
              <w:spacing w:before="0" w:after="0"/>
              <w:jc w:val="left"/>
              <w:rPr>
                <w:rFonts w:asciiTheme="minorHAnsi" w:hAnsiTheme="minorHAnsi" w:cstheme="minorHAnsi"/>
                <w:sz w:val="16"/>
                <w:szCs w:val="16"/>
              </w:rPr>
            </w:pPr>
            <w:r w:rsidRPr="00A92A3E">
              <w:rPr>
                <w:rFonts w:asciiTheme="minorHAnsi" w:hAnsiTheme="minorHAnsi" w:cstheme="minorHAnsi"/>
                <w:sz w:val="16"/>
                <w:szCs w:val="16"/>
              </w:rPr>
              <w:t>Curto, Médio e Longo Prazo</w:t>
            </w:r>
          </w:p>
        </w:tc>
      </w:tr>
      <w:tr w:rsidR="00500AE2" w:rsidRPr="00A92A3E" w14:paraId="60C069A5" w14:textId="77777777" w:rsidTr="00184B6A">
        <w:tc>
          <w:tcPr>
            <w:tcW w:w="1686" w:type="pct"/>
            <w:vAlign w:val="center"/>
          </w:tcPr>
          <w:p w14:paraId="6D6C5AF5" w14:textId="77777777" w:rsidR="00500AE2" w:rsidRPr="00A92A3E" w:rsidRDefault="00500AE2" w:rsidP="00F91A93">
            <w:pPr>
              <w:spacing w:before="0" w:after="0"/>
              <w:jc w:val="left"/>
              <w:rPr>
                <w:rFonts w:asciiTheme="minorHAnsi" w:hAnsiTheme="minorHAnsi" w:cstheme="minorHAnsi"/>
                <w:sz w:val="16"/>
                <w:szCs w:val="16"/>
              </w:rPr>
            </w:pPr>
            <w:r w:rsidRPr="00A92A3E">
              <w:rPr>
                <w:rFonts w:asciiTheme="minorHAnsi" w:hAnsiTheme="minorHAnsi" w:cstheme="minorHAnsi"/>
                <w:sz w:val="16"/>
                <w:szCs w:val="16"/>
              </w:rPr>
              <w:t>4 – Movimentações Financeiras não autorizadas</w:t>
            </w:r>
          </w:p>
        </w:tc>
        <w:tc>
          <w:tcPr>
            <w:tcW w:w="1671" w:type="pct"/>
          </w:tcPr>
          <w:p w14:paraId="70EA51FA"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a) Apuração das causas acompanhado de relatório;</w:t>
            </w:r>
          </w:p>
          <w:p w14:paraId="6857D017"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b) Identificação dos envolvidos a contar do início do processo;</w:t>
            </w:r>
          </w:p>
          <w:p w14:paraId="0BD6EE55"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c) Estudo Técnico com a viabilidade para resolução;</w:t>
            </w:r>
          </w:p>
          <w:p w14:paraId="4F81DC8A"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d) Ações e Medidas, se necessárias, judiciais para a responsabilização dos responsáveis.</w:t>
            </w:r>
          </w:p>
        </w:tc>
        <w:tc>
          <w:tcPr>
            <w:tcW w:w="1643" w:type="pct"/>
            <w:vAlign w:val="center"/>
          </w:tcPr>
          <w:p w14:paraId="43F673AC" w14:textId="77777777" w:rsidR="00500AE2" w:rsidRPr="00A92A3E" w:rsidRDefault="00500AE2" w:rsidP="00F91A93">
            <w:pPr>
              <w:spacing w:before="0" w:after="0"/>
              <w:jc w:val="left"/>
              <w:rPr>
                <w:rFonts w:asciiTheme="minorHAnsi" w:hAnsiTheme="minorHAnsi" w:cstheme="minorHAnsi"/>
                <w:sz w:val="16"/>
                <w:szCs w:val="16"/>
              </w:rPr>
            </w:pPr>
            <w:r w:rsidRPr="00A92A3E">
              <w:rPr>
                <w:rFonts w:asciiTheme="minorHAnsi" w:hAnsiTheme="minorHAnsi" w:cstheme="minorHAnsi"/>
                <w:sz w:val="16"/>
                <w:szCs w:val="16"/>
              </w:rPr>
              <w:t>Curto, Médio e Longo Prazo</w:t>
            </w:r>
          </w:p>
        </w:tc>
      </w:tr>
    </w:tbl>
    <w:p w14:paraId="50A1C8D0" w14:textId="77777777" w:rsidR="00500AE2" w:rsidRPr="00A92A3E" w:rsidRDefault="00500AE2" w:rsidP="00F91A93">
      <w:pPr>
        <w:rPr>
          <w:rFonts w:asciiTheme="minorHAnsi" w:hAnsiTheme="minorHAnsi" w:cstheme="minorHAnsi"/>
          <w:sz w:val="16"/>
          <w:szCs w:val="16"/>
        </w:rPr>
      </w:pPr>
    </w:p>
    <w:p w14:paraId="69A1C6A6" w14:textId="11260409" w:rsidR="00500AE2" w:rsidRPr="00A92A3E" w:rsidRDefault="006566DB" w:rsidP="00F91A93">
      <w:pPr>
        <w:pStyle w:val="Ttulo2"/>
        <w:rPr>
          <w:rFonts w:asciiTheme="minorHAnsi" w:hAnsiTheme="minorHAnsi" w:cstheme="minorHAnsi"/>
          <w:sz w:val="16"/>
          <w:szCs w:val="16"/>
        </w:rPr>
      </w:pPr>
      <w:bookmarkStart w:id="136" w:name="_Toc118105170"/>
      <w:r w:rsidRPr="00A92A3E">
        <w:rPr>
          <w:rFonts w:asciiTheme="minorHAnsi" w:hAnsiTheme="minorHAnsi" w:cstheme="minorHAnsi"/>
          <w:sz w:val="16"/>
          <w:szCs w:val="16"/>
        </w:rPr>
        <w:t>Potenciais Perdas dos Recursos</w:t>
      </w:r>
      <w:bookmarkEnd w:id="136"/>
    </w:p>
    <w:p w14:paraId="7E4ECE81" w14:textId="77777777" w:rsidR="00500AE2" w:rsidRPr="00A92A3E" w:rsidRDefault="00500AE2" w:rsidP="00F91A93">
      <w:pPr>
        <w:rPr>
          <w:rFonts w:asciiTheme="minorHAnsi" w:hAnsiTheme="minorHAnsi" w:cstheme="minorHAnsi"/>
          <w:sz w:val="16"/>
          <w:szCs w:val="16"/>
        </w:rPr>
      </w:pPr>
      <w:r w:rsidRPr="00A92A3E">
        <w:rPr>
          <w:rFonts w:asciiTheme="minorHAnsi" w:hAnsiTheme="minorHAnsi" w:cstheme="minorHAnsi"/>
          <w:sz w:val="16"/>
          <w:szCs w:val="16"/>
        </w:rPr>
        <w:t>Entende como potenciais perdas dos recursos os volumes expressivos provenientes de fundos de investimentos diretamente atrelados aos riscos de mercado, crédito e liquidez.</w:t>
      </w:r>
    </w:p>
    <w:tbl>
      <w:tblPr>
        <w:tblStyle w:val="Tabelacomgrade"/>
        <w:tblW w:w="5000" w:type="pct"/>
        <w:tblLook w:val="04A0" w:firstRow="1" w:lastRow="0" w:firstColumn="1" w:lastColumn="0" w:noHBand="0" w:noVBand="1"/>
      </w:tblPr>
      <w:tblGrid>
        <w:gridCol w:w="2864"/>
        <w:gridCol w:w="2839"/>
        <w:gridCol w:w="2791"/>
      </w:tblGrid>
      <w:tr w:rsidR="00500AE2" w:rsidRPr="00A92A3E" w14:paraId="118E089D" w14:textId="77777777" w:rsidTr="00184B6A">
        <w:tc>
          <w:tcPr>
            <w:tcW w:w="1686" w:type="pct"/>
          </w:tcPr>
          <w:p w14:paraId="305522E6" w14:textId="77777777" w:rsidR="00500AE2" w:rsidRPr="00A92A3E" w:rsidRDefault="00500AE2" w:rsidP="00F91A93">
            <w:pPr>
              <w:spacing w:before="0" w:after="0"/>
              <w:jc w:val="center"/>
              <w:rPr>
                <w:rFonts w:asciiTheme="minorHAnsi" w:hAnsiTheme="minorHAnsi" w:cstheme="minorHAnsi"/>
                <w:b/>
                <w:sz w:val="16"/>
                <w:szCs w:val="16"/>
              </w:rPr>
            </w:pPr>
            <w:r w:rsidRPr="00A92A3E">
              <w:rPr>
                <w:rFonts w:asciiTheme="minorHAnsi" w:hAnsiTheme="minorHAnsi" w:cstheme="minorHAnsi"/>
                <w:b/>
                <w:sz w:val="16"/>
                <w:szCs w:val="16"/>
              </w:rPr>
              <w:t>Contingências</w:t>
            </w:r>
          </w:p>
        </w:tc>
        <w:tc>
          <w:tcPr>
            <w:tcW w:w="1671" w:type="pct"/>
          </w:tcPr>
          <w:p w14:paraId="4D28AB18" w14:textId="77777777" w:rsidR="00500AE2" w:rsidRPr="00A92A3E" w:rsidRDefault="00500AE2" w:rsidP="00F91A93">
            <w:pPr>
              <w:spacing w:before="0" w:after="0"/>
              <w:jc w:val="center"/>
              <w:rPr>
                <w:rFonts w:asciiTheme="minorHAnsi" w:hAnsiTheme="minorHAnsi" w:cstheme="minorHAnsi"/>
                <w:b/>
                <w:sz w:val="16"/>
                <w:szCs w:val="16"/>
              </w:rPr>
            </w:pPr>
            <w:r w:rsidRPr="00A92A3E">
              <w:rPr>
                <w:rFonts w:asciiTheme="minorHAnsi" w:hAnsiTheme="minorHAnsi" w:cstheme="minorHAnsi"/>
                <w:b/>
                <w:sz w:val="16"/>
                <w:szCs w:val="16"/>
              </w:rPr>
              <w:t>Medidas</w:t>
            </w:r>
          </w:p>
        </w:tc>
        <w:tc>
          <w:tcPr>
            <w:tcW w:w="1643" w:type="pct"/>
          </w:tcPr>
          <w:p w14:paraId="2C3893E2" w14:textId="77777777" w:rsidR="00500AE2" w:rsidRPr="00A92A3E" w:rsidRDefault="00500AE2" w:rsidP="00F91A93">
            <w:pPr>
              <w:spacing w:before="0" w:after="0"/>
              <w:jc w:val="center"/>
              <w:rPr>
                <w:rFonts w:asciiTheme="minorHAnsi" w:hAnsiTheme="minorHAnsi" w:cstheme="minorHAnsi"/>
                <w:b/>
                <w:sz w:val="16"/>
                <w:szCs w:val="16"/>
              </w:rPr>
            </w:pPr>
            <w:r w:rsidRPr="00A92A3E">
              <w:rPr>
                <w:rFonts w:asciiTheme="minorHAnsi" w:hAnsiTheme="minorHAnsi" w:cstheme="minorHAnsi"/>
                <w:b/>
                <w:sz w:val="16"/>
                <w:szCs w:val="16"/>
              </w:rPr>
              <w:t>Resolução</w:t>
            </w:r>
          </w:p>
        </w:tc>
      </w:tr>
      <w:tr w:rsidR="00500AE2" w:rsidRPr="00A92A3E" w14:paraId="11720389" w14:textId="77777777" w:rsidTr="00184B6A">
        <w:tc>
          <w:tcPr>
            <w:tcW w:w="1686" w:type="pct"/>
          </w:tcPr>
          <w:p w14:paraId="10ED3BC4"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1 – Potenciais perdas de recursos</w:t>
            </w:r>
          </w:p>
        </w:tc>
        <w:tc>
          <w:tcPr>
            <w:tcW w:w="1671" w:type="pct"/>
          </w:tcPr>
          <w:p w14:paraId="781A81AD"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a) Apuração das causas acompanhado de relatório;</w:t>
            </w:r>
          </w:p>
          <w:p w14:paraId="2BEDC1E2"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b) Identificação dos envolvidos a contar do início do processo;</w:t>
            </w:r>
          </w:p>
          <w:p w14:paraId="5B33D4A4"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c) Estudo Técnico com a viabilidade administrativa, financeira e se for o caso, jurídica.</w:t>
            </w:r>
          </w:p>
        </w:tc>
        <w:tc>
          <w:tcPr>
            <w:tcW w:w="1643" w:type="pct"/>
          </w:tcPr>
          <w:p w14:paraId="6E7173BD" w14:textId="77777777" w:rsidR="00500AE2" w:rsidRPr="00A92A3E" w:rsidRDefault="00500AE2" w:rsidP="00F91A93">
            <w:pPr>
              <w:spacing w:before="0" w:after="0"/>
              <w:rPr>
                <w:rFonts w:asciiTheme="minorHAnsi" w:hAnsiTheme="minorHAnsi" w:cstheme="minorHAnsi"/>
                <w:sz w:val="16"/>
                <w:szCs w:val="16"/>
              </w:rPr>
            </w:pPr>
            <w:r w:rsidRPr="00A92A3E">
              <w:rPr>
                <w:rFonts w:asciiTheme="minorHAnsi" w:hAnsiTheme="minorHAnsi" w:cstheme="minorHAnsi"/>
                <w:sz w:val="16"/>
                <w:szCs w:val="16"/>
              </w:rPr>
              <w:t>Curto, Médio e Longo Prazo</w:t>
            </w:r>
          </w:p>
        </w:tc>
      </w:tr>
    </w:tbl>
    <w:p w14:paraId="0471A0DA" w14:textId="77777777" w:rsidR="00500AE2" w:rsidRPr="00A92A3E" w:rsidRDefault="00500AE2" w:rsidP="00F91A93">
      <w:pPr>
        <w:pStyle w:val="Ttulo1"/>
        <w:rPr>
          <w:rFonts w:asciiTheme="minorHAnsi" w:hAnsiTheme="minorHAnsi" w:cstheme="minorHAnsi"/>
          <w:sz w:val="16"/>
          <w:szCs w:val="16"/>
        </w:rPr>
      </w:pPr>
      <w:bookmarkStart w:id="137" w:name="_Toc118105171"/>
      <w:bookmarkStart w:id="138" w:name="_Toc150330304"/>
      <w:r w:rsidRPr="00A92A3E">
        <w:rPr>
          <w:rFonts w:asciiTheme="minorHAnsi" w:hAnsiTheme="minorHAnsi" w:cstheme="minorHAnsi"/>
          <w:sz w:val="16"/>
          <w:szCs w:val="16"/>
        </w:rPr>
        <w:t>C</w:t>
      </w:r>
      <w:bookmarkEnd w:id="118"/>
      <w:r w:rsidRPr="00A92A3E">
        <w:rPr>
          <w:rFonts w:asciiTheme="minorHAnsi" w:hAnsiTheme="minorHAnsi" w:cstheme="minorHAnsi"/>
          <w:sz w:val="16"/>
          <w:szCs w:val="16"/>
        </w:rPr>
        <w:t>ONTROLES INTERNOS</w:t>
      </w:r>
      <w:bookmarkEnd w:id="119"/>
      <w:bookmarkEnd w:id="120"/>
      <w:bookmarkEnd w:id="137"/>
      <w:bookmarkEnd w:id="138"/>
    </w:p>
    <w:p w14:paraId="16347263" w14:textId="51EFE470"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Antes de qualquer aplicação, resgate ou movimentações financeiras ocorridas na carteira de investimentos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os responsáveis pela gestão dos recursos deverão seguir todos os princípios e diretrizes envolvidos nos processos de aplicação dos recursos.</w:t>
      </w:r>
    </w:p>
    <w:p w14:paraId="7514F35D" w14:textId="77777777"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O acompanhamento mensal do desempenho da carteira de investimentos em relação a Meta de Rentabilidade definida, garantirá ações e medidas no curto e médio prazo do equacionamento de quaisquer distorções decorrentes dos riscos a ela atrelados.</w:t>
      </w:r>
    </w:p>
    <w:p w14:paraId="3FC927DA" w14:textId="0911BB23"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Com base nas determinações da Portaria </w:t>
      </w:r>
      <w:r w:rsidR="0001490F" w:rsidRPr="00A92A3E">
        <w:rPr>
          <w:rFonts w:asciiTheme="minorHAnsi" w:hAnsiTheme="minorHAnsi" w:cstheme="minorHAnsi"/>
          <w:bCs/>
          <w:sz w:val="16"/>
          <w:szCs w:val="16"/>
        </w:rPr>
        <w:t xml:space="preserve">MTP </w:t>
      </w:r>
      <w:r w:rsidRPr="00A92A3E">
        <w:rPr>
          <w:rFonts w:asciiTheme="minorHAnsi" w:hAnsiTheme="minorHAnsi" w:cstheme="minorHAnsi"/>
          <w:bCs/>
          <w:sz w:val="16"/>
          <w:szCs w:val="16"/>
        </w:rPr>
        <w:t xml:space="preserve">nº 1.467/2022, foi instituído </w:t>
      </w:r>
      <w:r w:rsidRPr="003B48EA">
        <w:rPr>
          <w:rFonts w:asciiTheme="minorHAnsi" w:hAnsiTheme="minorHAnsi" w:cstheme="minorHAnsi"/>
          <w:bCs/>
          <w:sz w:val="16"/>
          <w:szCs w:val="16"/>
        </w:rPr>
        <w:t xml:space="preserve">o </w:t>
      </w:r>
      <w:r w:rsidRPr="003B48EA">
        <w:rPr>
          <w:rFonts w:asciiTheme="minorHAnsi" w:hAnsiTheme="minorHAnsi" w:cstheme="minorHAnsi"/>
          <w:color w:val="000000" w:themeColor="text1"/>
          <w:sz w:val="16"/>
          <w:szCs w:val="16"/>
        </w:rPr>
        <w:t xml:space="preserve">Comitê de Investimentos através </w:t>
      </w:r>
      <w:r w:rsidR="003B48EA">
        <w:rPr>
          <w:rFonts w:asciiTheme="minorHAnsi" w:hAnsiTheme="minorHAnsi" w:cstheme="minorHAnsi"/>
          <w:color w:val="000000" w:themeColor="text1"/>
          <w:sz w:val="16"/>
          <w:szCs w:val="16"/>
        </w:rPr>
        <w:t>da Lei Complementar Municipal nº 299/2017 (art. 449-A da LC 209/2012) e Decretos Municipais nºs 3.209/2014, 3.342/2015 e 4.294/2021</w:t>
      </w:r>
      <w:r w:rsidRPr="003B48EA">
        <w:rPr>
          <w:rFonts w:asciiTheme="minorHAnsi" w:hAnsiTheme="minorHAnsi" w:cstheme="minorHAnsi"/>
          <w:bCs/>
          <w:color w:val="000000" w:themeColor="text1"/>
          <w:sz w:val="16"/>
          <w:szCs w:val="16"/>
        </w:rPr>
        <w:t xml:space="preserve">, </w:t>
      </w:r>
      <w:r w:rsidRPr="003B48EA">
        <w:rPr>
          <w:rFonts w:asciiTheme="minorHAnsi" w:hAnsiTheme="minorHAnsi" w:cstheme="minorHAnsi"/>
          <w:bCs/>
          <w:sz w:val="16"/>
          <w:szCs w:val="16"/>
        </w:rPr>
        <w:t>com a finalidade mínima de participar no proce</w:t>
      </w:r>
      <w:r w:rsidRPr="00A92A3E">
        <w:rPr>
          <w:rFonts w:asciiTheme="minorHAnsi" w:hAnsiTheme="minorHAnsi" w:cstheme="minorHAnsi"/>
          <w:bCs/>
          <w:sz w:val="16"/>
          <w:szCs w:val="16"/>
        </w:rPr>
        <w:t>sso decisório quanto à formulação e execução da Política de Investimentos.</w:t>
      </w:r>
    </w:p>
    <w:p w14:paraId="230AB3C8" w14:textId="77777777"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Suas ações são previamente aprovadas em Plano de Ação estipulado para o exercício corrente e seu controle será promovido pelo Gestor dos Recursos e Presidente do Comitê de Investimentos.</w:t>
      </w:r>
    </w:p>
    <w:p w14:paraId="6C9FD479" w14:textId="77777777"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Entende-se como participação no processo decisório quanto à formulação e execução da Política de Investimentos a abrangência de:</w:t>
      </w:r>
    </w:p>
    <w:p w14:paraId="4AA71779" w14:textId="77777777" w:rsidR="00500AE2" w:rsidRPr="00A92A3E" w:rsidRDefault="00500AE2" w:rsidP="00F5523C">
      <w:pPr>
        <w:pStyle w:val="PargrafodaLista"/>
        <w:numPr>
          <w:ilvl w:val="0"/>
          <w:numId w:val="9"/>
        </w:numPr>
        <w:rPr>
          <w:rFonts w:asciiTheme="minorHAnsi" w:hAnsiTheme="minorHAnsi" w:cstheme="minorHAnsi"/>
          <w:bCs/>
          <w:sz w:val="16"/>
          <w:szCs w:val="16"/>
        </w:rPr>
      </w:pPr>
      <w:r w:rsidRPr="00A92A3E">
        <w:rPr>
          <w:rFonts w:asciiTheme="minorHAnsi" w:hAnsiTheme="minorHAnsi" w:cstheme="minorHAnsi"/>
          <w:bCs/>
          <w:sz w:val="16"/>
          <w:szCs w:val="16"/>
        </w:rPr>
        <w:t>garantir o cumprimento das normativas vigentes;</w:t>
      </w:r>
    </w:p>
    <w:p w14:paraId="073C5DFE" w14:textId="77777777" w:rsidR="00500AE2" w:rsidRPr="00A92A3E" w:rsidRDefault="00500AE2" w:rsidP="00500AE2">
      <w:pPr>
        <w:pStyle w:val="PargrafodaLista"/>
        <w:rPr>
          <w:rFonts w:asciiTheme="minorHAnsi" w:hAnsiTheme="minorHAnsi" w:cstheme="minorHAnsi"/>
          <w:bCs/>
          <w:sz w:val="16"/>
          <w:szCs w:val="16"/>
        </w:rPr>
      </w:pPr>
    </w:p>
    <w:p w14:paraId="31EE955E" w14:textId="77777777" w:rsidR="00500AE2" w:rsidRPr="00A92A3E" w:rsidRDefault="00500AE2" w:rsidP="00F5523C">
      <w:pPr>
        <w:pStyle w:val="PargrafodaLista"/>
        <w:numPr>
          <w:ilvl w:val="0"/>
          <w:numId w:val="9"/>
        </w:numPr>
        <w:rPr>
          <w:rFonts w:asciiTheme="minorHAnsi" w:hAnsiTheme="minorHAnsi" w:cstheme="minorHAnsi"/>
          <w:bCs/>
          <w:sz w:val="16"/>
          <w:szCs w:val="16"/>
        </w:rPr>
      </w:pPr>
      <w:r w:rsidRPr="00A92A3E">
        <w:rPr>
          <w:rFonts w:asciiTheme="minorHAnsi" w:hAnsiTheme="minorHAnsi" w:cstheme="minorHAnsi"/>
          <w:bCs/>
          <w:sz w:val="16"/>
          <w:szCs w:val="16"/>
        </w:rPr>
        <w:t>garantir o cumprimento da Política de Investimentos e suas revisões;</w:t>
      </w:r>
    </w:p>
    <w:p w14:paraId="28E5048D" w14:textId="77777777" w:rsidR="00500AE2" w:rsidRPr="00A92A3E" w:rsidRDefault="00500AE2" w:rsidP="00500AE2">
      <w:pPr>
        <w:pStyle w:val="PargrafodaLista"/>
        <w:rPr>
          <w:rFonts w:asciiTheme="minorHAnsi" w:hAnsiTheme="minorHAnsi" w:cstheme="minorHAnsi"/>
          <w:bCs/>
          <w:sz w:val="16"/>
          <w:szCs w:val="16"/>
        </w:rPr>
      </w:pPr>
    </w:p>
    <w:p w14:paraId="74EC610C" w14:textId="67656D4D" w:rsidR="00500AE2" w:rsidRPr="00A92A3E" w:rsidRDefault="00500AE2" w:rsidP="00F5523C">
      <w:pPr>
        <w:pStyle w:val="PargrafodaLista"/>
        <w:numPr>
          <w:ilvl w:val="0"/>
          <w:numId w:val="9"/>
        </w:numPr>
        <w:rPr>
          <w:rFonts w:asciiTheme="minorHAnsi" w:hAnsiTheme="minorHAnsi" w:cstheme="minorHAnsi"/>
          <w:bCs/>
          <w:sz w:val="16"/>
          <w:szCs w:val="16"/>
        </w:rPr>
      </w:pPr>
      <w:r w:rsidRPr="00A92A3E">
        <w:rPr>
          <w:rFonts w:asciiTheme="minorHAnsi" w:hAnsiTheme="minorHAnsi" w:cstheme="minorHAnsi"/>
          <w:bCs/>
          <w:sz w:val="16"/>
          <w:szCs w:val="16"/>
        </w:rPr>
        <w:t xml:space="preserve">garantir a adequação dos investimentos de acordo com o perfil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w:t>
      </w:r>
    </w:p>
    <w:p w14:paraId="2B5402AB" w14:textId="77777777" w:rsidR="00500AE2" w:rsidRPr="00A92A3E" w:rsidRDefault="00500AE2" w:rsidP="00500AE2">
      <w:pPr>
        <w:pStyle w:val="PargrafodaLista"/>
        <w:rPr>
          <w:rFonts w:asciiTheme="minorHAnsi" w:hAnsiTheme="minorHAnsi" w:cstheme="minorHAnsi"/>
          <w:bCs/>
          <w:sz w:val="16"/>
          <w:szCs w:val="16"/>
        </w:rPr>
      </w:pPr>
    </w:p>
    <w:p w14:paraId="50F736F5" w14:textId="77777777" w:rsidR="00500AE2" w:rsidRPr="00A92A3E" w:rsidRDefault="00500AE2" w:rsidP="00F5523C">
      <w:pPr>
        <w:pStyle w:val="PargrafodaLista"/>
        <w:numPr>
          <w:ilvl w:val="0"/>
          <w:numId w:val="9"/>
        </w:numPr>
        <w:rPr>
          <w:rFonts w:asciiTheme="minorHAnsi" w:hAnsiTheme="minorHAnsi" w:cstheme="minorHAnsi"/>
          <w:bCs/>
          <w:sz w:val="16"/>
          <w:szCs w:val="16"/>
        </w:rPr>
      </w:pPr>
      <w:r w:rsidRPr="00A92A3E">
        <w:rPr>
          <w:rFonts w:asciiTheme="minorHAnsi" w:hAnsiTheme="minorHAnsi" w:cstheme="minorHAnsi"/>
          <w:bCs/>
          <w:sz w:val="16"/>
          <w:szCs w:val="16"/>
        </w:rPr>
        <w:t>monitorar o grau de risco dos investimentos;</w:t>
      </w:r>
    </w:p>
    <w:p w14:paraId="370430DE" w14:textId="77777777" w:rsidR="00500AE2" w:rsidRPr="00A92A3E" w:rsidRDefault="00500AE2" w:rsidP="00500AE2">
      <w:pPr>
        <w:pStyle w:val="PargrafodaLista"/>
        <w:rPr>
          <w:rFonts w:asciiTheme="minorHAnsi" w:hAnsiTheme="minorHAnsi" w:cstheme="minorHAnsi"/>
          <w:bCs/>
          <w:sz w:val="16"/>
          <w:szCs w:val="16"/>
        </w:rPr>
      </w:pPr>
    </w:p>
    <w:p w14:paraId="36D382A6" w14:textId="100D93AD" w:rsidR="00500AE2" w:rsidRPr="00A92A3E" w:rsidRDefault="00500AE2" w:rsidP="00F5523C">
      <w:pPr>
        <w:pStyle w:val="PargrafodaLista"/>
        <w:numPr>
          <w:ilvl w:val="0"/>
          <w:numId w:val="9"/>
        </w:numPr>
        <w:rPr>
          <w:rFonts w:asciiTheme="minorHAnsi" w:hAnsiTheme="minorHAnsi" w:cstheme="minorHAnsi"/>
          <w:bCs/>
          <w:sz w:val="16"/>
          <w:szCs w:val="16"/>
        </w:rPr>
      </w:pPr>
      <w:r w:rsidRPr="00A92A3E">
        <w:rPr>
          <w:rFonts w:asciiTheme="minorHAnsi" w:hAnsiTheme="minorHAnsi" w:cstheme="minorHAnsi"/>
          <w:bCs/>
          <w:sz w:val="16"/>
          <w:szCs w:val="16"/>
        </w:rPr>
        <w:t xml:space="preserve">observar que </w:t>
      </w:r>
      <w:r w:rsidR="00D440AE" w:rsidRPr="00A92A3E">
        <w:rPr>
          <w:rFonts w:asciiTheme="minorHAnsi" w:hAnsiTheme="minorHAnsi" w:cstheme="minorHAnsi"/>
          <w:bCs/>
          <w:sz w:val="16"/>
          <w:szCs w:val="16"/>
        </w:rPr>
        <w:t xml:space="preserve">a rentabilidade dos recursos esteja </w:t>
      </w:r>
      <w:r w:rsidRPr="00A92A3E">
        <w:rPr>
          <w:rFonts w:asciiTheme="minorHAnsi" w:hAnsiTheme="minorHAnsi" w:cstheme="minorHAnsi"/>
          <w:bCs/>
          <w:sz w:val="16"/>
          <w:szCs w:val="16"/>
        </w:rPr>
        <w:t>de acordo com o nível de risco assumido;</w:t>
      </w:r>
    </w:p>
    <w:p w14:paraId="6B47F783" w14:textId="77777777" w:rsidR="00500AE2" w:rsidRPr="00A92A3E" w:rsidRDefault="00500AE2" w:rsidP="00500AE2">
      <w:pPr>
        <w:pStyle w:val="PargrafodaLista"/>
        <w:rPr>
          <w:rFonts w:asciiTheme="minorHAnsi" w:hAnsiTheme="minorHAnsi" w:cstheme="minorHAnsi"/>
          <w:bCs/>
          <w:sz w:val="16"/>
          <w:szCs w:val="16"/>
        </w:rPr>
      </w:pPr>
    </w:p>
    <w:p w14:paraId="42EF5B4B" w14:textId="77777777" w:rsidR="00500AE2" w:rsidRPr="00A92A3E" w:rsidRDefault="00500AE2" w:rsidP="00F5523C">
      <w:pPr>
        <w:pStyle w:val="PargrafodaLista"/>
        <w:numPr>
          <w:ilvl w:val="0"/>
          <w:numId w:val="9"/>
        </w:numPr>
        <w:rPr>
          <w:rFonts w:asciiTheme="minorHAnsi" w:hAnsiTheme="minorHAnsi" w:cstheme="minorHAnsi"/>
          <w:bCs/>
          <w:sz w:val="16"/>
          <w:szCs w:val="16"/>
        </w:rPr>
      </w:pPr>
      <w:r w:rsidRPr="00A92A3E">
        <w:rPr>
          <w:rFonts w:asciiTheme="minorHAnsi" w:hAnsiTheme="minorHAnsi" w:cstheme="minorHAnsi"/>
          <w:bCs/>
          <w:sz w:val="16"/>
          <w:szCs w:val="16"/>
        </w:rPr>
        <w:t>garantir a gestão ética e transparente dos recursos;</w:t>
      </w:r>
    </w:p>
    <w:p w14:paraId="738E2C14" w14:textId="77777777" w:rsidR="00500AE2" w:rsidRPr="00A92A3E" w:rsidRDefault="00500AE2" w:rsidP="00500AE2">
      <w:pPr>
        <w:pStyle w:val="PargrafodaLista"/>
        <w:rPr>
          <w:rFonts w:asciiTheme="minorHAnsi" w:hAnsiTheme="minorHAnsi" w:cstheme="minorHAnsi"/>
          <w:bCs/>
          <w:sz w:val="16"/>
          <w:szCs w:val="16"/>
        </w:rPr>
      </w:pPr>
    </w:p>
    <w:p w14:paraId="303DE152" w14:textId="77777777" w:rsidR="00500AE2" w:rsidRPr="00A92A3E" w:rsidRDefault="00500AE2" w:rsidP="00F5523C">
      <w:pPr>
        <w:pStyle w:val="PargrafodaLista"/>
        <w:numPr>
          <w:ilvl w:val="0"/>
          <w:numId w:val="9"/>
        </w:numPr>
        <w:rPr>
          <w:rFonts w:asciiTheme="minorHAnsi" w:hAnsiTheme="minorHAnsi" w:cstheme="minorHAnsi"/>
          <w:bCs/>
          <w:sz w:val="16"/>
          <w:szCs w:val="16"/>
        </w:rPr>
      </w:pPr>
      <w:r w:rsidRPr="00A92A3E">
        <w:rPr>
          <w:rFonts w:asciiTheme="minorHAnsi" w:hAnsiTheme="minorHAnsi" w:cstheme="minorHAnsi"/>
          <w:bCs/>
          <w:sz w:val="16"/>
          <w:szCs w:val="16"/>
        </w:rPr>
        <w:t>garantir a execução dos processos internos voltados para área de investimentos;</w:t>
      </w:r>
    </w:p>
    <w:p w14:paraId="50F9C98D" w14:textId="77777777" w:rsidR="00500AE2" w:rsidRPr="00A92A3E" w:rsidRDefault="00500AE2" w:rsidP="00500AE2">
      <w:pPr>
        <w:pStyle w:val="PargrafodaLista"/>
        <w:rPr>
          <w:rFonts w:asciiTheme="minorHAnsi" w:hAnsiTheme="minorHAnsi" w:cstheme="minorHAnsi"/>
          <w:bCs/>
          <w:sz w:val="16"/>
          <w:szCs w:val="16"/>
        </w:rPr>
      </w:pPr>
    </w:p>
    <w:p w14:paraId="19B5F9FF" w14:textId="77777777" w:rsidR="00500AE2" w:rsidRPr="00A92A3E" w:rsidRDefault="00500AE2" w:rsidP="00F5523C">
      <w:pPr>
        <w:pStyle w:val="PargrafodaLista"/>
        <w:numPr>
          <w:ilvl w:val="0"/>
          <w:numId w:val="9"/>
        </w:numPr>
        <w:rPr>
          <w:rFonts w:asciiTheme="minorHAnsi" w:hAnsiTheme="minorHAnsi" w:cstheme="minorHAnsi"/>
          <w:bCs/>
          <w:sz w:val="16"/>
          <w:szCs w:val="16"/>
        </w:rPr>
      </w:pPr>
      <w:r w:rsidRPr="00A92A3E">
        <w:rPr>
          <w:rFonts w:asciiTheme="minorHAnsi" w:hAnsiTheme="minorHAnsi" w:cstheme="minorHAnsi"/>
          <w:bCs/>
          <w:sz w:val="16"/>
          <w:szCs w:val="16"/>
        </w:rPr>
        <w:t>instaurar sindicância no âmbito dos investimentos e processos de investimentos se assim houver a necessidade;</w:t>
      </w:r>
    </w:p>
    <w:p w14:paraId="754461F5" w14:textId="77777777" w:rsidR="00500AE2" w:rsidRPr="00A92A3E" w:rsidRDefault="00500AE2" w:rsidP="00500AE2">
      <w:pPr>
        <w:pStyle w:val="PargrafodaLista"/>
        <w:rPr>
          <w:rFonts w:asciiTheme="minorHAnsi" w:hAnsiTheme="minorHAnsi" w:cstheme="minorHAnsi"/>
          <w:bCs/>
          <w:sz w:val="16"/>
          <w:szCs w:val="16"/>
        </w:rPr>
      </w:pPr>
    </w:p>
    <w:p w14:paraId="5B6EE84B" w14:textId="77777777" w:rsidR="00500AE2" w:rsidRPr="00A92A3E" w:rsidRDefault="00500AE2" w:rsidP="00F5523C">
      <w:pPr>
        <w:pStyle w:val="PargrafodaLista"/>
        <w:numPr>
          <w:ilvl w:val="0"/>
          <w:numId w:val="9"/>
        </w:numPr>
        <w:rPr>
          <w:rFonts w:asciiTheme="minorHAnsi" w:hAnsiTheme="minorHAnsi" w:cstheme="minorHAnsi"/>
          <w:bCs/>
          <w:sz w:val="16"/>
          <w:szCs w:val="16"/>
        </w:rPr>
      </w:pPr>
      <w:r w:rsidRPr="00A92A3E">
        <w:rPr>
          <w:rFonts w:asciiTheme="minorHAnsi" w:hAnsiTheme="minorHAnsi" w:cstheme="minorHAnsi"/>
          <w:bCs/>
          <w:sz w:val="16"/>
          <w:szCs w:val="16"/>
        </w:rPr>
        <w:t>executar plano de contingência no âmbito dos investimentos conforme definido em Política de Investimentos se assim houver a necessidade;</w:t>
      </w:r>
    </w:p>
    <w:p w14:paraId="48D25B7D" w14:textId="77777777" w:rsidR="00500AE2" w:rsidRPr="00A92A3E" w:rsidRDefault="00500AE2" w:rsidP="00500AE2">
      <w:pPr>
        <w:pStyle w:val="PargrafodaLista"/>
        <w:rPr>
          <w:rFonts w:asciiTheme="minorHAnsi" w:hAnsiTheme="minorHAnsi" w:cstheme="minorHAnsi"/>
          <w:bCs/>
          <w:sz w:val="16"/>
          <w:szCs w:val="16"/>
        </w:rPr>
      </w:pPr>
    </w:p>
    <w:p w14:paraId="490CA6DF" w14:textId="77777777" w:rsidR="00500AE2" w:rsidRPr="00A92A3E" w:rsidRDefault="00500AE2" w:rsidP="00F5523C">
      <w:pPr>
        <w:pStyle w:val="PargrafodaLista"/>
        <w:numPr>
          <w:ilvl w:val="0"/>
          <w:numId w:val="9"/>
        </w:numPr>
        <w:rPr>
          <w:rFonts w:asciiTheme="minorHAnsi" w:hAnsiTheme="minorHAnsi" w:cstheme="minorHAnsi"/>
          <w:bCs/>
          <w:sz w:val="16"/>
          <w:szCs w:val="16"/>
        </w:rPr>
      </w:pPr>
      <w:r w:rsidRPr="00A92A3E">
        <w:rPr>
          <w:rFonts w:asciiTheme="minorHAnsi" w:hAnsiTheme="minorHAnsi" w:cstheme="minorHAnsi"/>
          <w:bCs/>
          <w:sz w:val="16"/>
          <w:szCs w:val="16"/>
        </w:rPr>
        <w:t>garantir a execução, o cumprimento e acompanhamento do Credenciamento das Instituições Financeiras;</w:t>
      </w:r>
    </w:p>
    <w:p w14:paraId="056A9866" w14:textId="77777777" w:rsidR="00500AE2" w:rsidRPr="00A92A3E" w:rsidRDefault="00500AE2" w:rsidP="00500AE2">
      <w:pPr>
        <w:pStyle w:val="PargrafodaLista"/>
        <w:rPr>
          <w:rFonts w:asciiTheme="minorHAnsi" w:hAnsiTheme="minorHAnsi" w:cstheme="minorHAnsi"/>
          <w:bCs/>
          <w:sz w:val="16"/>
          <w:szCs w:val="16"/>
        </w:rPr>
      </w:pPr>
    </w:p>
    <w:p w14:paraId="65653D4C" w14:textId="77777777" w:rsidR="00500AE2" w:rsidRPr="00A92A3E" w:rsidRDefault="00500AE2" w:rsidP="00F5523C">
      <w:pPr>
        <w:pStyle w:val="PargrafodaLista"/>
        <w:numPr>
          <w:ilvl w:val="0"/>
          <w:numId w:val="9"/>
        </w:numPr>
        <w:rPr>
          <w:rFonts w:asciiTheme="minorHAnsi" w:hAnsiTheme="minorHAnsi" w:cstheme="minorHAnsi"/>
          <w:bCs/>
          <w:sz w:val="16"/>
          <w:szCs w:val="16"/>
        </w:rPr>
      </w:pPr>
      <w:r w:rsidRPr="00A92A3E">
        <w:rPr>
          <w:rFonts w:asciiTheme="minorHAnsi" w:hAnsiTheme="minorHAnsi" w:cstheme="minorHAnsi"/>
          <w:bCs/>
          <w:sz w:val="16"/>
          <w:szCs w:val="16"/>
        </w:rPr>
        <w:t>garantir que a Alocação Estratégica esteja em consonância com os estudos técnicos que nortearam o equilíbrio atuarial e financeiro e</w:t>
      </w:r>
    </w:p>
    <w:p w14:paraId="77ED67F2" w14:textId="77777777" w:rsidR="00500AE2" w:rsidRPr="00A92A3E" w:rsidRDefault="00500AE2" w:rsidP="00500AE2">
      <w:pPr>
        <w:pStyle w:val="PargrafodaLista"/>
        <w:rPr>
          <w:rFonts w:asciiTheme="minorHAnsi" w:hAnsiTheme="minorHAnsi" w:cstheme="minorHAnsi"/>
          <w:bCs/>
          <w:sz w:val="16"/>
          <w:szCs w:val="16"/>
        </w:rPr>
      </w:pPr>
    </w:p>
    <w:p w14:paraId="69B998DC" w14:textId="77777777" w:rsidR="00500AE2" w:rsidRPr="00A92A3E" w:rsidRDefault="00500AE2" w:rsidP="00F5523C">
      <w:pPr>
        <w:pStyle w:val="PargrafodaLista"/>
        <w:numPr>
          <w:ilvl w:val="0"/>
          <w:numId w:val="9"/>
        </w:numPr>
        <w:rPr>
          <w:rFonts w:asciiTheme="minorHAnsi" w:hAnsiTheme="minorHAnsi" w:cstheme="minorHAnsi"/>
          <w:bCs/>
          <w:sz w:val="16"/>
          <w:szCs w:val="16"/>
        </w:rPr>
      </w:pPr>
      <w:r w:rsidRPr="00A92A3E">
        <w:rPr>
          <w:rFonts w:asciiTheme="minorHAnsi" w:hAnsiTheme="minorHAnsi" w:cstheme="minorHAnsi"/>
          <w:bCs/>
          <w:sz w:val="16"/>
          <w:szCs w:val="16"/>
        </w:rPr>
        <w:t>qualquer outra atividade relacionada diretamente a área de investimentos.</w:t>
      </w:r>
    </w:p>
    <w:p w14:paraId="102A2A22" w14:textId="75A47FEC"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Todo o acompanhamento promovido pelo Comitê de Investimentos será designado em formato de relatório e/ou parecer, sendo disponibilizado para apreciação, análise, contestação e aprovação por parte do Conselho de Deliberação. Sua periodicidade se adequada ao porte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w:t>
      </w:r>
    </w:p>
    <w:p w14:paraId="3BA15C38" w14:textId="467B4466" w:rsidR="00F91A93" w:rsidRPr="00A92A3E" w:rsidRDefault="00500AE2" w:rsidP="0072415A">
      <w:pPr>
        <w:rPr>
          <w:rFonts w:asciiTheme="minorHAnsi" w:hAnsiTheme="minorHAnsi" w:cstheme="minorHAnsi"/>
          <w:bCs/>
          <w:sz w:val="16"/>
          <w:szCs w:val="16"/>
        </w:rPr>
      </w:pPr>
      <w:r w:rsidRPr="00A92A3E">
        <w:rPr>
          <w:rFonts w:asciiTheme="minorHAnsi" w:hAnsiTheme="minorHAnsi" w:cstheme="minorHAnsi"/>
          <w:bCs/>
          <w:sz w:val="16"/>
          <w:szCs w:val="16"/>
        </w:rPr>
        <w:t>Os relatórios e/ou pareceres supracitados serão mantidos e colocados à disposição do Ministério da Previdência</w:t>
      </w:r>
      <w:r w:rsidR="00D61C7B" w:rsidRPr="00A92A3E">
        <w:rPr>
          <w:rFonts w:asciiTheme="minorHAnsi" w:hAnsiTheme="minorHAnsi" w:cstheme="minorHAnsi"/>
          <w:bCs/>
          <w:sz w:val="16"/>
          <w:szCs w:val="16"/>
        </w:rPr>
        <w:t xml:space="preserve"> Social</w:t>
      </w:r>
      <w:r w:rsidR="004B2B6F">
        <w:rPr>
          <w:rFonts w:asciiTheme="minorHAnsi" w:hAnsiTheme="minorHAnsi" w:cstheme="minorHAnsi"/>
          <w:bCs/>
          <w:sz w:val="16"/>
          <w:szCs w:val="16"/>
        </w:rPr>
        <w:t>, Secreta</w:t>
      </w:r>
      <w:r w:rsidRPr="00A92A3E">
        <w:rPr>
          <w:rFonts w:asciiTheme="minorHAnsi" w:hAnsiTheme="minorHAnsi" w:cstheme="minorHAnsi"/>
          <w:bCs/>
          <w:sz w:val="16"/>
          <w:szCs w:val="16"/>
        </w:rPr>
        <w:t>ria de Previdência Social - SPREV, Tribunal de Contas do Estado, Conselho Fiscal, Controle Interno e demais órgãos fiscalizadores e interessados.</w:t>
      </w:r>
      <w:bookmarkStart w:id="139" w:name="_Toc490036564"/>
    </w:p>
    <w:p w14:paraId="3E5ADEBF" w14:textId="77777777" w:rsidR="00500AE2" w:rsidRPr="00A92A3E" w:rsidRDefault="00500AE2" w:rsidP="00F91A93">
      <w:pPr>
        <w:pStyle w:val="Ttulo1"/>
        <w:rPr>
          <w:rFonts w:asciiTheme="minorHAnsi" w:hAnsiTheme="minorHAnsi" w:cstheme="minorHAnsi"/>
          <w:sz w:val="16"/>
          <w:szCs w:val="16"/>
        </w:rPr>
      </w:pPr>
      <w:bookmarkStart w:id="140" w:name="_Toc118105172"/>
      <w:bookmarkStart w:id="141" w:name="_Toc150330305"/>
      <w:r w:rsidRPr="00A92A3E">
        <w:rPr>
          <w:rFonts w:asciiTheme="minorHAnsi" w:hAnsiTheme="minorHAnsi" w:cstheme="minorHAnsi"/>
          <w:sz w:val="16"/>
          <w:szCs w:val="16"/>
        </w:rPr>
        <w:t>DISPOSIÇÕES GERAIS</w:t>
      </w:r>
      <w:bookmarkEnd w:id="139"/>
      <w:bookmarkEnd w:id="140"/>
      <w:bookmarkEnd w:id="141"/>
    </w:p>
    <w:p w14:paraId="3F201C01" w14:textId="36313A56"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A presente Política de Investimentos poderá ser revista no curso de sua execução e deverá ser monitorada no curto prazo, a contar da data de sua aprovação pelo órgão superior competente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sendo que o prazo de validade compreenderá apenas o ano de 202</w:t>
      </w:r>
      <w:r w:rsidR="002F7351" w:rsidRPr="00A92A3E">
        <w:rPr>
          <w:rFonts w:asciiTheme="minorHAnsi" w:hAnsiTheme="minorHAnsi" w:cstheme="minorHAnsi"/>
          <w:bCs/>
          <w:sz w:val="16"/>
          <w:szCs w:val="16"/>
        </w:rPr>
        <w:t>4</w:t>
      </w:r>
      <w:r w:rsidRPr="00A92A3E">
        <w:rPr>
          <w:rFonts w:asciiTheme="minorHAnsi" w:hAnsiTheme="minorHAnsi" w:cstheme="minorHAnsi"/>
          <w:bCs/>
          <w:sz w:val="16"/>
          <w:szCs w:val="16"/>
        </w:rPr>
        <w:t>.</w:t>
      </w:r>
    </w:p>
    <w:p w14:paraId="4DDF2B4D" w14:textId="711DFCB8"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Reuniões extraordinárias promovidas pelo Comitê de Investimentos e posteriormente com Conselho Deliberativo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serão realizadas sempre que houver necessidade de ajustes nesta Política de Investimentos perante o comportamento/conjuntura do mercado, quando se apresentar o interesse da preservação dos ativos financeiros e/ou com vistas à adequação à nova legislação.</w:t>
      </w:r>
    </w:p>
    <w:p w14:paraId="058D1A1E" w14:textId="77777777"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A Política de Investimentos e suas possíveis revisões; a documentação que os fundamenta, bem como as aprovações exigidas, permanecerão à disposição dos órgãos de acompanhamento, supervisão e fiscalização pelo prazo de 10 (dez) anos.</w:t>
      </w:r>
    </w:p>
    <w:p w14:paraId="1CB23EAA" w14:textId="74889473" w:rsidR="002F7351"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Deverão estar certificados os responsáveis pelo acompanhamento e operacionalização dos investimentos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xml:space="preserve">, através de exame de certificação organizado por entidade autônoma de reconhecida capacidade técnica e difusão no mercado brasileiro de capitais, cujo conteúdo abrangerá, no mínimo, o contido no anexo a Portaria </w:t>
      </w:r>
      <w:r w:rsidR="002F7351" w:rsidRPr="00A92A3E">
        <w:rPr>
          <w:rFonts w:asciiTheme="minorHAnsi" w:hAnsiTheme="minorHAnsi" w:cstheme="minorHAnsi"/>
          <w:bCs/>
          <w:sz w:val="16"/>
          <w:szCs w:val="16"/>
        </w:rPr>
        <w:t xml:space="preserve">MTP </w:t>
      </w:r>
      <w:r w:rsidRPr="00A92A3E">
        <w:rPr>
          <w:rFonts w:asciiTheme="minorHAnsi" w:hAnsiTheme="minorHAnsi" w:cstheme="minorHAnsi"/>
          <w:bCs/>
          <w:sz w:val="16"/>
          <w:szCs w:val="16"/>
        </w:rPr>
        <w:t>nº 1.467/2022, Art. 76, Inciso II.</w:t>
      </w:r>
    </w:p>
    <w:p w14:paraId="6D59F62E" w14:textId="2877F301"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A comprovação da habilitação ocorrerá mediante o preenchimento dos campos específicos constantes do Demonstrativo da Política de Investimentos - DPIN e do Demonstrativo de Aplicações e Investimentos dos Recursos - DAIR. </w:t>
      </w:r>
    </w:p>
    <w:p w14:paraId="2F4638B9" w14:textId="67081492"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As Instituições Financeiras que operem e que venham a operar com o </w:t>
      </w:r>
      <w:r w:rsidR="00B53180">
        <w:rPr>
          <w:rStyle w:val="paragrafo"/>
          <w:rFonts w:asciiTheme="minorHAnsi" w:hAnsiTheme="minorHAnsi" w:cstheme="minorHAnsi"/>
          <w:b/>
          <w:bCs/>
          <w:sz w:val="16"/>
          <w:szCs w:val="16"/>
        </w:rPr>
        <w:t>FUNDO ESPECIAL DE PREVIDÊNCIA SOCIAL DE JAGUARIÚNA</w:t>
      </w:r>
      <w:r w:rsidR="00DD570F" w:rsidRPr="00A92A3E">
        <w:rPr>
          <w:rFonts w:asciiTheme="minorHAnsi" w:hAnsiTheme="minorHAnsi" w:cstheme="minorHAnsi"/>
          <w:sz w:val="16"/>
          <w:szCs w:val="16"/>
        </w:rPr>
        <w:t xml:space="preserve"> </w:t>
      </w:r>
      <w:r w:rsidRPr="00A92A3E">
        <w:rPr>
          <w:rFonts w:asciiTheme="minorHAnsi" w:hAnsiTheme="minorHAnsi" w:cstheme="minorHAnsi"/>
          <w:bCs/>
          <w:sz w:val="16"/>
          <w:szCs w:val="16"/>
        </w:rPr>
        <w:t xml:space="preserve">poderão, a título institucional, oferecer apoio técnico através de cursos, seminários e workshops ministrados por profissionais de mercado e/ou funcionários das Instituições para capacitação de servidores e membros dos órgãos colegiados; bem como, contraprestação de serviços e projetos de iniciativa do </w:t>
      </w:r>
      <w:r w:rsidR="00B53180">
        <w:rPr>
          <w:rStyle w:val="paragrafo"/>
          <w:rFonts w:asciiTheme="minorHAnsi" w:hAnsiTheme="minorHAnsi" w:cstheme="minorHAnsi"/>
          <w:b/>
          <w:bCs/>
          <w:sz w:val="16"/>
          <w:szCs w:val="16"/>
        </w:rPr>
        <w:t>FUNDO ESPECIAL DE PREVIDÊNCIA SOCIAL DE JAGUARIÚNA</w:t>
      </w:r>
      <w:r w:rsidRPr="00A92A3E">
        <w:rPr>
          <w:rFonts w:asciiTheme="minorHAnsi" w:hAnsiTheme="minorHAnsi" w:cstheme="minorHAnsi"/>
          <w:bCs/>
          <w:sz w:val="16"/>
          <w:szCs w:val="16"/>
        </w:rPr>
        <w:t>, sem que haja ônus ou compromisso vinculados aos produtos de investimentos.</w:t>
      </w:r>
    </w:p>
    <w:p w14:paraId="33FAEE58" w14:textId="60621AB7"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Casos omissos nesta Política de Investimentos remetem-se à Resolução CMN n° 4.963/2021 e suas e à Portaria </w:t>
      </w:r>
      <w:r w:rsidR="00860563" w:rsidRPr="00A92A3E">
        <w:rPr>
          <w:rFonts w:asciiTheme="minorHAnsi" w:hAnsiTheme="minorHAnsi" w:cstheme="minorHAnsi"/>
          <w:bCs/>
          <w:sz w:val="16"/>
          <w:szCs w:val="16"/>
        </w:rPr>
        <w:t xml:space="preserve">MTP </w:t>
      </w:r>
      <w:r w:rsidRPr="00A92A3E">
        <w:rPr>
          <w:rFonts w:asciiTheme="minorHAnsi" w:hAnsiTheme="minorHAnsi" w:cstheme="minorHAnsi"/>
          <w:bCs/>
          <w:sz w:val="16"/>
          <w:szCs w:val="16"/>
        </w:rPr>
        <w:t>nº 1.467/2022 e demais normativas pertinentes aos Regimes Próprios de Previdência Social</w:t>
      </w:r>
      <w:r w:rsidR="00FD4688" w:rsidRPr="00A92A3E">
        <w:rPr>
          <w:rFonts w:asciiTheme="minorHAnsi" w:hAnsiTheme="minorHAnsi" w:cstheme="minorHAnsi"/>
          <w:bCs/>
          <w:sz w:val="16"/>
          <w:szCs w:val="16"/>
        </w:rPr>
        <w:t xml:space="preserve"> - RPPS</w:t>
      </w:r>
      <w:r w:rsidRPr="00A92A3E">
        <w:rPr>
          <w:rFonts w:asciiTheme="minorHAnsi" w:hAnsiTheme="minorHAnsi" w:cstheme="minorHAnsi"/>
          <w:bCs/>
          <w:sz w:val="16"/>
          <w:szCs w:val="16"/>
        </w:rPr>
        <w:t>.</w:t>
      </w:r>
    </w:p>
    <w:p w14:paraId="3C967757" w14:textId="1F483D41" w:rsidR="00500AE2" w:rsidRPr="00A92A3E" w:rsidRDefault="00500AE2" w:rsidP="00500AE2">
      <w:pPr>
        <w:rPr>
          <w:rFonts w:asciiTheme="minorHAnsi" w:hAnsiTheme="minorHAnsi" w:cstheme="minorHAnsi"/>
          <w:bCs/>
          <w:sz w:val="16"/>
          <w:szCs w:val="16"/>
        </w:rPr>
      </w:pPr>
      <w:r w:rsidRPr="00A92A3E">
        <w:rPr>
          <w:rFonts w:asciiTheme="minorHAnsi" w:hAnsiTheme="minorHAnsi" w:cstheme="minorHAnsi"/>
          <w:bCs/>
          <w:sz w:val="16"/>
          <w:szCs w:val="16"/>
        </w:rPr>
        <w:t xml:space="preserve">É parte integrante desta Política de Investimentos, cópia da </w:t>
      </w:r>
      <w:r w:rsidRPr="00A92A3E">
        <w:rPr>
          <w:rFonts w:asciiTheme="minorHAnsi" w:hAnsiTheme="minorHAnsi" w:cstheme="minorHAnsi"/>
          <w:b/>
          <w:bCs/>
          <w:sz w:val="16"/>
          <w:szCs w:val="16"/>
        </w:rPr>
        <w:t>Ata do Comitê de Investimentos</w:t>
      </w:r>
      <w:r w:rsidRPr="00A92A3E">
        <w:rPr>
          <w:rFonts w:asciiTheme="minorHAnsi" w:hAnsiTheme="minorHAnsi" w:cstheme="minorHAnsi"/>
          <w:bCs/>
          <w:sz w:val="16"/>
          <w:szCs w:val="16"/>
        </w:rPr>
        <w:t xml:space="preserve"> que é participante do processo decisório quanto à sua formulação e execução</w:t>
      </w:r>
      <w:r w:rsidR="005B3C12" w:rsidRPr="00A92A3E">
        <w:rPr>
          <w:rFonts w:asciiTheme="minorHAnsi" w:hAnsiTheme="minorHAnsi" w:cstheme="minorHAnsi"/>
          <w:bCs/>
          <w:sz w:val="16"/>
          <w:szCs w:val="16"/>
        </w:rPr>
        <w:t>;</w:t>
      </w:r>
      <w:r w:rsidRPr="00A92A3E">
        <w:rPr>
          <w:rFonts w:asciiTheme="minorHAnsi" w:hAnsiTheme="minorHAnsi" w:cstheme="minorHAnsi"/>
          <w:bCs/>
          <w:sz w:val="16"/>
          <w:szCs w:val="16"/>
        </w:rPr>
        <w:t xml:space="preserve"> cópia da </w:t>
      </w:r>
      <w:r w:rsidRPr="00A92A3E">
        <w:rPr>
          <w:rFonts w:asciiTheme="minorHAnsi" w:hAnsiTheme="minorHAnsi" w:cstheme="minorHAnsi"/>
          <w:b/>
          <w:bCs/>
          <w:sz w:val="16"/>
          <w:szCs w:val="16"/>
        </w:rPr>
        <w:t>Ata do órgão superior</w:t>
      </w:r>
      <w:r w:rsidRPr="00A92A3E">
        <w:rPr>
          <w:rFonts w:asciiTheme="minorHAnsi" w:hAnsiTheme="minorHAnsi" w:cstheme="minorHAnsi"/>
          <w:bCs/>
          <w:sz w:val="16"/>
          <w:szCs w:val="16"/>
        </w:rPr>
        <w:t xml:space="preserve"> </w:t>
      </w:r>
      <w:r w:rsidRPr="00A92A3E">
        <w:rPr>
          <w:rFonts w:asciiTheme="minorHAnsi" w:hAnsiTheme="minorHAnsi" w:cstheme="minorHAnsi"/>
          <w:b/>
          <w:sz w:val="16"/>
          <w:szCs w:val="16"/>
        </w:rPr>
        <w:t xml:space="preserve">de deliberação </w:t>
      </w:r>
      <w:r w:rsidRPr="00A92A3E">
        <w:rPr>
          <w:rFonts w:asciiTheme="minorHAnsi" w:hAnsiTheme="minorHAnsi" w:cstheme="minorHAnsi"/>
          <w:bCs/>
          <w:sz w:val="16"/>
          <w:szCs w:val="16"/>
        </w:rPr>
        <w:t>competente que aprova o presente instrumento, devidamente assinada por seus membros.</w:t>
      </w:r>
    </w:p>
    <w:p w14:paraId="624D9969" w14:textId="77777777" w:rsidR="007B0892" w:rsidRPr="00A92A3E" w:rsidRDefault="00500AE2" w:rsidP="007B0892">
      <w:pPr>
        <w:rPr>
          <w:rFonts w:asciiTheme="minorHAnsi" w:hAnsiTheme="minorHAnsi" w:cstheme="minorHAnsi"/>
          <w:bCs/>
          <w:sz w:val="16"/>
          <w:szCs w:val="16"/>
        </w:rPr>
      </w:pPr>
      <w:r w:rsidRPr="00A92A3E">
        <w:rPr>
          <w:rFonts w:asciiTheme="minorHAnsi" w:hAnsiTheme="minorHAnsi" w:cstheme="minorHAnsi"/>
          <w:bCs/>
          <w:sz w:val="16"/>
          <w:szCs w:val="16"/>
        </w:rPr>
        <w:lastRenderedPageBreak/>
        <w:t>Este documento deverá ser assinado:</w:t>
      </w:r>
    </w:p>
    <w:p w14:paraId="3BF9E0EE" w14:textId="6B6BF6E4" w:rsidR="007B0892" w:rsidRPr="00A92A3E" w:rsidRDefault="00500AE2" w:rsidP="00F5523C">
      <w:pPr>
        <w:pStyle w:val="PargrafodaLista"/>
        <w:numPr>
          <w:ilvl w:val="0"/>
          <w:numId w:val="16"/>
        </w:numPr>
        <w:rPr>
          <w:rFonts w:asciiTheme="minorHAnsi" w:hAnsiTheme="minorHAnsi" w:cstheme="minorHAnsi"/>
          <w:bCs/>
          <w:sz w:val="16"/>
          <w:szCs w:val="16"/>
        </w:rPr>
      </w:pPr>
      <w:r w:rsidRPr="00A92A3E">
        <w:rPr>
          <w:rFonts w:asciiTheme="minorHAnsi" w:hAnsiTheme="minorHAnsi" w:cstheme="minorHAnsi"/>
          <w:bCs/>
          <w:sz w:val="16"/>
          <w:szCs w:val="16"/>
        </w:rPr>
        <w:t xml:space="preserve">pelo representante </w:t>
      </w:r>
      <w:r w:rsidR="000965C1" w:rsidRPr="00A92A3E">
        <w:rPr>
          <w:rFonts w:asciiTheme="minorHAnsi" w:hAnsiTheme="minorHAnsi" w:cstheme="minorHAnsi"/>
          <w:bCs/>
          <w:sz w:val="16"/>
          <w:szCs w:val="16"/>
        </w:rPr>
        <w:t xml:space="preserve">do </w:t>
      </w:r>
      <w:r w:rsidR="00B53180">
        <w:rPr>
          <w:rStyle w:val="paragrafo"/>
          <w:rFonts w:asciiTheme="minorHAnsi" w:hAnsiTheme="minorHAnsi" w:cstheme="minorHAnsi"/>
          <w:b/>
          <w:bCs/>
          <w:sz w:val="16"/>
          <w:szCs w:val="16"/>
        </w:rPr>
        <w:t>FUNDO ESPECIAL DE PREVIDÊNCIA SOCIAL DE JAGUARIÚNA</w:t>
      </w:r>
      <w:r w:rsidR="00DD570F" w:rsidRPr="00A92A3E">
        <w:rPr>
          <w:rFonts w:asciiTheme="minorHAnsi" w:hAnsiTheme="minorHAnsi" w:cstheme="minorHAnsi"/>
          <w:sz w:val="16"/>
          <w:szCs w:val="16"/>
        </w:rPr>
        <w:t xml:space="preserve"> </w:t>
      </w:r>
      <w:r w:rsidRPr="00A92A3E">
        <w:rPr>
          <w:rFonts w:asciiTheme="minorHAnsi" w:hAnsiTheme="minorHAnsi" w:cstheme="minorHAnsi"/>
          <w:bCs/>
          <w:sz w:val="16"/>
          <w:szCs w:val="16"/>
        </w:rPr>
        <w:t>e</w:t>
      </w:r>
    </w:p>
    <w:p w14:paraId="5F997E63" w14:textId="77777777" w:rsidR="007B0892" w:rsidRPr="00A92A3E" w:rsidRDefault="007B0892" w:rsidP="007B0892">
      <w:pPr>
        <w:pStyle w:val="PargrafodaLista"/>
        <w:rPr>
          <w:rFonts w:asciiTheme="minorHAnsi" w:hAnsiTheme="minorHAnsi" w:cstheme="minorHAnsi"/>
          <w:bCs/>
          <w:sz w:val="16"/>
          <w:szCs w:val="16"/>
        </w:rPr>
      </w:pPr>
    </w:p>
    <w:p w14:paraId="46934456" w14:textId="5CD69A4D" w:rsidR="007B0892" w:rsidRPr="0072415A" w:rsidRDefault="00500AE2" w:rsidP="00184B6A">
      <w:pPr>
        <w:pStyle w:val="PargrafodaLista"/>
        <w:numPr>
          <w:ilvl w:val="0"/>
          <w:numId w:val="16"/>
        </w:numPr>
        <w:jc w:val="left"/>
        <w:rPr>
          <w:rFonts w:asciiTheme="minorHAnsi" w:hAnsiTheme="minorHAnsi" w:cstheme="minorHAnsi"/>
          <w:bCs/>
          <w:sz w:val="16"/>
          <w:szCs w:val="16"/>
        </w:rPr>
      </w:pPr>
      <w:r w:rsidRPr="0072415A">
        <w:rPr>
          <w:rFonts w:asciiTheme="minorHAnsi" w:hAnsiTheme="minorHAnsi" w:cstheme="minorHAnsi"/>
          <w:bCs/>
          <w:sz w:val="16"/>
          <w:szCs w:val="16"/>
        </w:rPr>
        <w:t xml:space="preserve">pelos responsáveis pela </w:t>
      </w:r>
      <w:r w:rsidRPr="0072415A">
        <w:rPr>
          <w:rFonts w:asciiTheme="minorHAnsi" w:hAnsiTheme="minorHAnsi" w:cstheme="minorHAnsi"/>
          <w:b/>
          <w:bCs/>
          <w:sz w:val="16"/>
          <w:szCs w:val="16"/>
          <w:u w:val="single"/>
        </w:rPr>
        <w:t>elaboração, aprovação e execução</w:t>
      </w:r>
      <w:r w:rsidRPr="0072415A">
        <w:rPr>
          <w:rFonts w:asciiTheme="minorHAnsi" w:hAnsiTheme="minorHAnsi" w:cstheme="minorHAnsi"/>
          <w:bCs/>
          <w:sz w:val="16"/>
          <w:szCs w:val="16"/>
        </w:rPr>
        <w:t xml:space="preserve"> desta Política de Investimentos em atendimento ao art. 91° da Portaria n° 1.467/2022.</w:t>
      </w:r>
    </w:p>
    <w:p w14:paraId="27A21108" w14:textId="4611E405" w:rsidR="006711AC" w:rsidRPr="00A92A3E" w:rsidRDefault="007B0892" w:rsidP="007B0892">
      <w:pPr>
        <w:pStyle w:val="Ttulo1"/>
        <w:rPr>
          <w:rFonts w:asciiTheme="minorHAnsi" w:hAnsiTheme="minorHAnsi" w:cstheme="minorHAnsi"/>
          <w:sz w:val="16"/>
          <w:szCs w:val="16"/>
        </w:rPr>
      </w:pPr>
      <w:bookmarkStart w:id="142" w:name="_Toc150330306"/>
      <w:r w:rsidRPr="00A92A3E">
        <w:rPr>
          <w:rFonts w:asciiTheme="minorHAnsi" w:hAnsiTheme="minorHAnsi" w:cstheme="minorHAnsi"/>
          <w:sz w:val="16"/>
          <w:szCs w:val="16"/>
        </w:rPr>
        <w:t>ASSINATURAS</w:t>
      </w:r>
      <w:bookmarkEnd w:id="142"/>
    </w:p>
    <w:p w14:paraId="186FE6D3" w14:textId="77777777" w:rsidR="00694BF1" w:rsidRPr="00A92A3E" w:rsidRDefault="00694BF1" w:rsidP="00694BF1">
      <w:pPr>
        <w:contextualSpacing/>
        <w:rPr>
          <w:rFonts w:asciiTheme="minorHAnsi" w:hAnsiTheme="minorHAnsi" w:cstheme="minorHAnsi"/>
          <w:sz w:val="16"/>
          <w:szCs w:val="16"/>
        </w:rPr>
      </w:pPr>
    </w:p>
    <w:p w14:paraId="30A40139" w14:textId="214CC009" w:rsidR="00694BF1" w:rsidRPr="00A92A3E" w:rsidRDefault="00694BF1" w:rsidP="00694BF1">
      <w:pPr>
        <w:spacing w:before="0"/>
        <w:jc w:val="center"/>
        <w:rPr>
          <w:rFonts w:asciiTheme="minorHAnsi" w:hAnsiTheme="minorHAnsi" w:cstheme="minorHAnsi"/>
          <w:b/>
          <w:bCs/>
          <w:sz w:val="16"/>
          <w:szCs w:val="16"/>
        </w:rPr>
      </w:pPr>
      <w:r w:rsidRPr="00A92A3E">
        <w:rPr>
          <w:rFonts w:asciiTheme="minorHAnsi" w:hAnsiTheme="minorHAnsi" w:cstheme="minorHAnsi"/>
          <w:b/>
          <w:bCs/>
          <w:sz w:val="16"/>
          <w:szCs w:val="16"/>
        </w:rPr>
        <w:t>Membros da Diretoria Executiva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7B0892" w:rsidRPr="00A92A3E" w14:paraId="5CEE1B77" w14:textId="77777777" w:rsidTr="009E027A">
        <w:tc>
          <w:tcPr>
            <w:tcW w:w="4247" w:type="dxa"/>
            <w:vAlign w:val="center"/>
          </w:tcPr>
          <w:p w14:paraId="16EB83F2" w14:textId="0831B045" w:rsidR="007B0892" w:rsidRPr="00A92A3E" w:rsidRDefault="00214EF1" w:rsidP="00214EF1">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c>
          <w:tcPr>
            <w:tcW w:w="4247" w:type="dxa"/>
            <w:vAlign w:val="center"/>
          </w:tcPr>
          <w:p w14:paraId="64319355" w14:textId="6A7CC282" w:rsidR="007B0892" w:rsidRPr="00A92A3E" w:rsidRDefault="00214EF1" w:rsidP="00214EF1">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r>
      <w:tr w:rsidR="007B0892" w:rsidRPr="00A92A3E" w14:paraId="710B50B1" w14:textId="77777777" w:rsidTr="009E027A">
        <w:tc>
          <w:tcPr>
            <w:tcW w:w="4247" w:type="dxa"/>
            <w:vAlign w:val="center"/>
          </w:tcPr>
          <w:p w14:paraId="35A07A2D" w14:textId="463A71FB" w:rsidR="007B0892" w:rsidRPr="00A92A3E" w:rsidRDefault="00D83E9D" w:rsidP="00D83E9D">
            <w:pPr>
              <w:spacing w:before="0" w:after="0"/>
              <w:jc w:val="center"/>
              <w:rPr>
                <w:rFonts w:asciiTheme="minorHAnsi" w:hAnsiTheme="minorHAnsi" w:cstheme="minorHAnsi"/>
                <w:sz w:val="16"/>
                <w:szCs w:val="16"/>
              </w:rPr>
            </w:pPr>
            <w:r>
              <w:rPr>
                <w:rFonts w:asciiTheme="minorHAnsi" w:hAnsiTheme="minorHAnsi" w:cstheme="minorHAnsi"/>
                <w:sz w:val="16"/>
                <w:szCs w:val="16"/>
              </w:rPr>
              <w:t>Ana Vanessa da Silva</w:t>
            </w:r>
          </w:p>
        </w:tc>
        <w:tc>
          <w:tcPr>
            <w:tcW w:w="4247" w:type="dxa"/>
            <w:vAlign w:val="center"/>
          </w:tcPr>
          <w:p w14:paraId="687BD0EF" w14:textId="3838247A" w:rsidR="007B0892" w:rsidRPr="00A92A3E" w:rsidRDefault="00203FB7" w:rsidP="00203FB7">
            <w:pPr>
              <w:spacing w:before="0" w:after="0"/>
              <w:jc w:val="center"/>
              <w:rPr>
                <w:rFonts w:asciiTheme="minorHAnsi" w:hAnsiTheme="minorHAnsi" w:cstheme="minorHAnsi"/>
                <w:sz w:val="16"/>
                <w:szCs w:val="16"/>
              </w:rPr>
            </w:pPr>
            <w:r>
              <w:rPr>
                <w:rFonts w:asciiTheme="minorHAnsi" w:hAnsiTheme="minorHAnsi" w:cstheme="minorHAnsi"/>
                <w:sz w:val="16"/>
                <w:szCs w:val="16"/>
              </w:rPr>
              <w:t>Renata Aparecida Dias</w:t>
            </w:r>
          </w:p>
        </w:tc>
      </w:tr>
      <w:tr w:rsidR="007B0892" w:rsidRPr="00A92A3E" w14:paraId="6CFC4C88" w14:textId="77777777" w:rsidTr="009E027A">
        <w:tc>
          <w:tcPr>
            <w:tcW w:w="4247" w:type="dxa"/>
            <w:vAlign w:val="center"/>
          </w:tcPr>
          <w:p w14:paraId="5A237768" w14:textId="4249E829" w:rsidR="007B0892" w:rsidRPr="00A92A3E" w:rsidRDefault="00203FB7" w:rsidP="00214EF1">
            <w:pPr>
              <w:spacing w:before="0" w:after="0"/>
              <w:jc w:val="center"/>
              <w:rPr>
                <w:rFonts w:asciiTheme="minorHAnsi" w:hAnsiTheme="minorHAnsi" w:cstheme="minorHAnsi"/>
                <w:sz w:val="16"/>
                <w:szCs w:val="16"/>
              </w:rPr>
            </w:pPr>
            <w:r>
              <w:rPr>
                <w:rFonts w:asciiTheme="minorHAnsi" w:hAnsiTheme="minorHAnsi" w:cstheme="minorHAnsi"/>
                <w:sz w:val="16"/>
                <w:szCs w:val="16"/>
              </w:rPr>
              <w:t>Diretor Presidente</w:t>
            </w:r>
          </w:p>
        </w:tc>
        <w:tc>
          <w:tcPr>
            <w:tcW w:w="4247" w:type="dxa"/>
            <w:vAlign w:val="center"/>
          </w:tcPr>
          <w:p w14:paraId="1DA8BA35" w14:textId="02B9B788" w:rsidR="007B0892" w:rsidRPr="00A92A3E" w:rsidRDefault="00D83E9D" w:rsidP="00203FB7">
            <w:pPr>
              <w:spacing w:before="0" w:after="0"/>
              <w:jc w:val="center"/>
              <w:rPr>
                <w:rFonts w:asciiTheme="minorHAnsi" w:hAnsiTheme="minorHAnsi" w:cstheme="minorHAnsi"/>
                <w:sz w:val="16"/>
                <w:szCs w:val="16"/>
              </w:rPr>
            </w:pPr>
            <w:r>
              <w:rPr>
                <w:rFonts w:asciiTheme="minorHAnsi" w:hAnsiTheme="minorHAnsi" w:cstheme="minorHAnsi"/>
                <w:sz w:val="16"/>
                <w:szCs w:val="16"/>
              </w:rPr>
              <w:t>Diretor Administrativo</w:t>
            </w:r>
            <w:r w:rsidR="00203FB7">
              <w:rPr>
                <w:rFonts w:asciiTheme="minorHAnsi" w:hAnsiTheme="minorHAnsi" w:cstheme="minorHAnsi"/>
                <w:sz w:val="16"/>
                <w:szCs w:val="16"/>
              </w:rPr>
              <w:t>-</w:t>
            </w:r>
            <w:r>
              <w:rPr>
                <w:rFonts w:asciiTheme="minorHAnsi" w:hAnsiTheme="minorHAnsi" w:cstheme="minorHAnsi"/>
                <w:sz w:val="16"/>
                <w:szCs w:val="16"/>
              </w:rPr>
              <w:t>Financeiro</w:t>
            </w:r>
          </w:p>
        </w:tc>
      </w:tr>
    </w:tbl>
    <w:p w14:paraId="2B2A54D3" w14:textId="77777777" w:rsidR="00F00AE0" w:rsidRPr="00A92A3E" w:rsidRDefault="00F00AE0" w:rsidP="007B0892">
      <w:pPr>
        <w:rPr>
          <w:rFonts w:asciiTheme="minorHAnsi" w:hAnsiTheme="minorHAnsi" w:cstheme="minorHAnsi"/>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00AE0" w:rsidRPr="00A92A3E" w14:paraId="1D2FCD94" w14:textId="77777777" w:rsidTr="009E027A">
        <w:tc>
          <w:tcPr>
            <w:tcW w:w="4247" w:type="dxa"/>
            <w:vAlign w:val="center"/>
          </w:tcPr>
          <w:p w14:paraId="23F4542D" w14:textId="77777777" w:rsidR="00F00AE0" w:rsidRPr="00A92A3E" w:rsidRDefault="00F00AE0" w:rsidP="00184B6A">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c>
          <w:tcPr>
            <w:tcW w:w="4247" w:type="dxa"/>
            <w:vAlign w:val="center"/>
          </w:tcPr>
          <w:p w14:paraId="6F4DF7FE" w14:textId="4353B0B0" w:rsidR="00F00AE0" w:rsidRPr="00A92A3E" w:rsidRDefault="00F00AE0" w:rsidP="00184B6A">
            <w:pPr>
              <w:spacing w:before="0" w:after="0"/>
              <w:jc w:val="center"/>
              <w:rPr>
                <w:rFonts w:asciiTheme="minorHAnsi" w:hAnsiTheme="minorHAnsi" w:cstheme="minorHAnsi"/>
                <w:sz w:val="16"/>
                <w:szCs w:val="16"/>
              </w:rPr>
            </w:pPr>
          </w:p>
        </w:tc>
      </w:tr>
      <w:tr w:rsidR="00F00AE0" w:rsidRPr="00A92A3E" w14:paraId="7740B48C" w14:textId="77777777" w:rsidTr="009E027A">
        <w:tc>
          <w:tcPr>
            <w:tcW w:w="4247" w:type="dxa"/>
            <w:vAlign w:val="center"/>
          </w:tcPr>
          <w:p w14:paraId="4DEE5572" w14:textId="2844B489" w:rsidR="00F00AE0" w:rsidRPr="00A92A3E" w:rsidRDefault="00203FB7" w:rsidP="00203FB7">
            <w:pPr>
              <w:spacing w:before="0" w:after="0"/>
              <w:jc w:val="center"/>
              <w:rPr>
                <w:rFonts w:asciiTheme="minorHAnsi" w:hAnsiTheme="minorHAnsi" w:cstheme="minorHAnsi"/>
                <w:sz w:val="16"/>
                <w:szCs w:val="16"/>
              </w:rPr>
            </w:pPr>
            <w:r>
              <w:rPr>
                <w:rFonts w:asciiTheme="minorHAnsi" w:hAnsiTheme="minorHAnsi" w:cstheme="minorHAnsi"/>
                <w:sz w:val="16"/>
                <w:szCs w:val="16"/>
              </w:rPr>
              <w:t>Patrícia Dal’Bó de Oliveira Verdi</w:t>
            </w:r>
          </w:p>
        </w:tc>
        <w:tc>
          <w:tcPr>
            <w:tcW w:w="4247" w:type="dxa"/>
            <w:vAlign w:val="center"/>
          </w:tcPr>
          <w:p w14:paraId="4B50D679" w14:textId="257F0F84" w:rsidR="00F00AE0" w:rsidRPr="00A92A3E" w:rsidRDefault="00F00AE0" w:rsidP="00203FB7">
            <w:pPr>
              <w:spacing w:before="0" w:after="0"/>
              <w:jc w:val="center"/>
              <w:rPr>
                <w:rFonts w:asciiTheme="minorHAnsi" w:hAnsiTheme="minorHAnsi" w:cstheme="minorHAnsi"/>
                <w:sz w:val="16"/>
                <w:szCs w:val="16"/>
              </w:rPr>
            </w:pPr>
          </w:p>
        </w:tc>
      </w:tr>
      <w:tr w:rsidR="00F00AE0" w:rsidRPr="00A92A3E" w14:paraId="07DE4E65" w14:textId="77777777" w:rsidTr="009E027A">
        <w:tc>
          <w:tcPr>
            <w:tcW w:w="4247" w:type="dxa"/>
            <w:vAlign w:val="center"/>
          </w:tcPr>
          <w:p w14:paraId="085B61D6" w14:textId="25258A64" w:rsidR="00F00AE0" w:rsidRPr="00A92A3E" w:rsidRDefault="00203FB7" w:rsidP="00184B6A">
            <w:pPr>
              <w:spacing w:before="0" w:after="0"/>
              <w:jc w:val="center"/>
              <w:rPr>
                <w:rFonts w:asciiTheme="minorHAnsi" w:hAnsiTheme="minorHAnsi" w:cstheme="minorHAnsi"/>
                <w:sz w:val="16"/>
                <w:szCs w:val="16"/>
              </w:rPr>
            </w:pPr>
            <w:r>
              <w:rPr>
                <w:rFonts w:asciiTheme="minorHAnsi" w:hAnsiTheme="minorHAnsi" w:cstheme="minorHAnsi"/>
                <w:sz w:val="16"/>
                <w:szCs w:val="16"/>
              </w:rPr>
              <w:t>Diretor de Previdência</w:t>
            </w:r>
          </w:p>
        </w:tc>
        <w:tc>
          <w:tcPr>
            <w:tcW w:w="4247" w:type="dxa"/>
            <w:vAlign w:val="center"/>
          </w:tcPr>
          <w:p w14:paraId="34C515B3" w14:textId="176D09CE" w:rsidR="00F00AE0" w:rsidRPr="00A92A3E" w:rsidRDefault="00F00AE0" w:rsidP="00184B6A">
            <w:pPr>
              <w:spacing w:before="0" w:after="0"/>
              <w:jc w:val="center"/>
              <w:rPr>
                <w:rFonts w:asciiTheme="minorHAnsi" w:hAnsiTheme="minorHAnsi" w:cstheme="minorHAnsi"/>
                <w:sz w:val="16"/>
                <w:szCs w:val="16"/>
              </w:rPr>
            </w:pPr>
          </w:p>
        </w:tc>
      </w:tr>
    </w:tbl>
    <w:p w14:paraId="6CBD5A16" w14:textId="77777777" w:rsidR="00F00AE0" w:rsidRPr="00A92A3E" w:rsidRDefault="00F00AE0" w:rsidP="007B0892">
      <w:pPr>
        <w:contextualSpacing/>
        <w:rPr>
          <w:rFonts w:asciiTheme="minorHAnsi" w:hAnsiTheme="minorHAnsi" w:cstheme="minorHAnsi"/>
          <w:sz w:val="16"/>
          <w:szCs w:val="16"/>
        </w:rPr>
      </w:pPr>
    </w:p>
    <w:p w14:paraId="197554BA" w14:textId="4889E988" w:rsidR="00F00AE0" w:rsidRPr="00A92A3E" w:rsidRDefault="00F00AE0" w:rsidP="00F00AE0">
      <w:pPr>
        <w:spacing w:before="0"/>
        <w:jc w:val="center"/>
        <w:rPr>
          <w:rFonts w:asciiTheme="minorHAnsi" w:hAnsiTheme="minorHAnsi" w:cstheme="minorHAnsi"/>
          <w:b/>
          <w:bCs/>
          <w:sz w:val="16"/>
          <w:szCs w:val="16"/>
        </w:rPr>
      </w:pPr>
      <w:r w:rsidRPr="00A92A3E">
        <w:rPr>
          <w:rFonts w:asciiTheme="minorHAnsi" w:hAnsiTheme="minorHAnsi" w:cstheme="minorHAnsi"/>
          <w:b/>
          <w:bCs/>
          <w:sz w:val="16"/>
          <w:szCs w:val="16"/>
        </w:rPr>
        <w:t>Membros do Comitê de Investimentos</w:t>
      </w:r>
    </w:p>
    <w:p w14:paraId="7D678738" w14:textId="77777777" w:rsidR="009E027A" w:rsidRPr="00A92A3E" w:rsidRDefault="009E027A" w:rsidP="00F00AE0">
      <w:pPr>
        <w:spacing w:before="0"/>
        <w:jc w:val="center"/>
        <w:rPr>
          <w:rFonts w:asciiTheme="minorHAnsi" w:hAnsiTheme="minorHAnsi" w:cstheme="minorHAnsi"/>
          <w:b/>
          <w:bCs/>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03FB7" w:rsidRPr="00A92A3E" w14:paraId="6DBB1BC6" w14:textId="77777777" w:rsidTr="00773CF6">
        <w:tc>
          <w:tcPr>
            <w:tcW w:w="4247" w:type="dxa"/>
            <w:vAlign w:val="center"/>
          </w:tcPr>
          <w:p w14:paraId="791F3E60" w14:textId="77777777" w:rsidR="00203FB7" w:rsidRPr="00A92A3E" w:rsidRDefault="00203FB7" w:rsidP="00773CF6">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c>
          <w:tcPr>
            <w:tcW w:w="4247" w:type="dxa"/>
            <w:vAlign w:val="center"/>
          </w:tcPr>
          <w:p w14:paraId="3EA8D333" w14:textId="77777777" w:rsidR="00203FB7" w:rsidRPr="00A92A3E" w:rsidRDefault="00203FB7" w:rsidP="00773CF6">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r>
      <w:tr w:rsidR="00203FB7" w:rsidRPr="00A92A3E" w14:paraId="3E5E0C39" w14:textId="77777777" w:rsidTr="00773CF6">
        <w:tc>
          <w:tcPr>
            <w:tcW w:w="4247" w:type="dxa"/>
            <w:vAlign w:val="center"/>
          </w:tcPr>
          <w:p w14:paraId="3E256960" w14:textId="77777777" w:rsidR="00203FB7" w:rsidRPr="00A92A3E" w:rsidRDefault="00203FB7" w:rsidP="00773CF6">
            <w:pPr>
              <w:spacing w:before="0" w:after="0"/>
              <w:jc w:val="center"/>
              <w:rPr>
                <w:rFonts w:asciiTheme="minorHAnsi" w:hAnsiTheme="minorHAnsi" w:cstheme="minorHAnsi"/>
                <w:sz w:val="16"/>
                <w:szCs w:val="16"/>
              </w:rPr>
            </w:pPr>
            <w:r>
              <w:rPr>
                <w:rFonts w:asciiTheme="minorHAnsi" w:hAnsiTheme="minorHAnsi" w:cstheme="minorHAnsi"/>
                <w:sz w:val="16"/>
                <w:szCs w:val="16"/>
              </w:rPr>
              <w:t>Ana Vanessa da Silva</w:t>
            </w:r>
          </w:p>
        </w:tc>
        <w:tc>
          <w:tcPr>
            <w:tcW w:w="4247" w:type="dxa"/>
            <w:vAlign w:val="center"/>
          </w:tcPr>
          <w:p w14:paraId="3C4857D3" w14:textId="77777777" w:rsidR="00203FB7" w:rsidRPr="00A92A3E" w:rsidRDefault="00203FB7" w:rsidP="00773CF6">
            <w:pPr>
              <w:spacing w:before="0" w:after="0"/>
              <w:jc w:val="center"/>
              <w:rPr>
                <w:rFonts w:asciiTheme="minorHAnsi" w:hAnsiTheme="minorHAnsi" w:cstheme="minorHAnsi"/>
                <w:sz w:val="16"/>
                <w:szCs w:val="16"/>
              </w:rPr>
            </w:pPr>
            <w:r>
              <w:rPr>
                <w:rFonts w:asciiTheme="minorHAnsi" w:hAnsiTheme="minorHAnsi" w:cstheme="minorHAnsi"/>
                <w:sz w:val="16"/>
                <w:szCs w:val="16"/>
              </w:rPr>
              <w:t>Renata Aparecida Dias</w:t>
            </w:r>
          </w:p>
        </w:tc>
      </w:tr>
      <w:tr w:rsidR="00203FB7" w:rsidRPr="00A92A3E" w14:paraId="462DA965" w14:textId="77777777" w:rsidTr="00773CF6">
        <w:tc>
          <w:tcPr>
            <w:tcW w:w="4247" w:type="dxa"/>
            <w:vAlign w:val="center"/>
          </w:tcPr>
          <w:p w14:paraId="30D3227E" w14:textId="77777777" w:rsidR="00203FB7" w:rsidRDefault="00203FB7" w:rsidP="00773CF6">
            <w:pPr>
              <w:spacing w:before="0" w:after="0"/>
              <w:jc w:val="center"/>
              <w:rPr>
                <w:rFonts w:asciiTheme="minorHAnsi" w:hAnsiTheme="minorHAnsi" w:cstheme="minorHAnsi"/>
                <w:sz w:val="16"/>
                <w:szCs w:val="16"/>
              </w:rPr>
            </w:pPr>
          </w:p>
          <w:p w14:paraId="3907C6FE" w14:textId="12A075C8" w:rsidR="00F449A8" w:rsidRPr="00A92A3E" w:rsidRDefault="00F449A8" w:rsidP="00773CF6">
            <w:pPr>
              <w:spacing w:before="0" w:after="0"/>
              <w:jc w:val="center"/>
              <w:rPr>
                <w:rFonts w:asciiTheme="minorHAnsi" w:hAnsiTheme="minorHAnsi" w:cstheme="minorHAnsi"/>
                <w:sz w:val="16"/>
                <w:szCs w:val="16"/>
              </w:rPr>
            </w:pPr>
          </w:p>
        </w:tc>
        <w:tc>
          <w:tcPr>
            <w:tcW w:w="4247" w:type="dxa"/>
            <w:vAlign w:val="center"/>
          </w:tcPr>
          <w:p w14:paraId="7A69C168" w14:textId="569BA878" w:rsidR="00203FB7" w:rsidRPr="00A92A3E" w:rsidRDefault="00203FB7" w:rsidP="00773CF6">
            <w:pPr>
              <w:spacing w:before="0" w:after="0"/>
              <w:jc w:val="center"/>
              <w:rPr>
                <w:rFonts w:asciiTheme="minorHAnsi" w:hAnsiTheme="minorHAnsi" w:cstheme="minorHAnsi"/>
                <w:sz w:val="16"/>
                <w:szCs w:val="16"/>
              </w:rPr>
            </w:pPr>
          </w:p>
        </w:tc>
      </w:tr>
      <w:tr w:rsidR="00203FB7" w:rsidRPr="00A92A3E" w14:paraId="5BE5FB84" w14:textId="77777777" w:rsidTr="00773CF6">
        <w:tc>
          <w:tcPr>
            <w:tcW w:w="4247" w:type="dxa"/>
            <w:vAlign w:val="center"/>
          </w:tcPr>
          <w:p w14:paraId="06B8EA76" w14:textId="77777777" w:rsidR="00203FB7" w:rsidRPr="00A92A3E" w:rsidRDefault="00203FB7" w:rsidP="00773CF6">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c>
          <w:tcPr>
            <w:tcW w:w="4247" w:type="dxa"/>
            <w:vAlign w:val="center"/>
          </w:tcPr>
          <w:p w14:paraId="7F07737A" w14:textId="77777777" w:rsidR="00203FB7" w:rsidRPr="00A92A3E" w:rsidRDefault="00203FB7" w:rsidP="00773CF6">
            <w:pPr>
              <w:spacing w:before="0" w:after="0"/>
              <w:jc w:val="center"/>
              <w:rPr>
                <w:rFonts w:asciiTheme="minorHAnsi" w:hAnsiTheme="minorHAnsi" w:cstheme="minorHAnsi"/>
                <w:sz w:val="16"/>
                <w:szCs w:val="16"/>
              </w:rPr>
            </w:pPr>
          </w:p>
        </w:tc>
      </w:tr>
      <w:tr w:rsidR="00203FB7" w:rsidRPr="00A92A3E" w14:paraId="00A69315" w14:textId="77777777" w:rsidTr="00773CF6">
        <w:tc>
          <w:tcPr>
            <w:tcW w:w="4247" w:type="dxa"/>
            <w:vAlign w:val="center"/>
          </w:tcPr>
          <w:p w14:paraId="7D980F23" w14:textId="77777777" w:rsidR="00203FB7" w:rsidRDefault="00203FB7" w:rsidP="00203FB7">
            <w:pPr>
              <w:spacing w:before="0" w:after="0"/>
              <w:jc w:val="center"/>
              <w:rPr>
                <w:rFonts w:asciiTheme="minorHAnsi" w:hAnsiTheme="minorHAnsi" w:cstheme="minorHAnsi"/>
                <w:sz w:val="16"/>
                <w:szCs w:val="16"/>
              </w:rPr>
            </w:pPr>
            <w:r>
              <w:rPr>
                <w:rFonts w:asciiTheme="minorHAnsi" w:hAnsiTheme="minorHAnsi" w:cstheme="minorHAnsi"/>
                <w:sz w:val="16"/>
                <w:szCs w:val="16"/>
              </w:rPr>
              <w:t>Mariane de Fátima Tagliaferro</w:t>
            </w:r>
          </w:p>
          <w:p w14:paraId="20EEDBE2" w14:textId="59D5E3FC" w:rsidR="00203FB7" w:rsidRPr="00A92A3E" w:rsidRDefault="00203FB7" w:rsidP="00203FB7">
            <w:pPr>
              <w:spacing w:before="0" w:after="0"/>
              <w:jc w:val="center"/>
              <w:rPr>
                <w:rFonts w:asciiTheme="minorHAnsi" w:hAnsiTheme="minorHAnsi" w:cstheme="minorHAnsi"/>
                <w:sz w:val="16"/>
                <w:szCs w:val="16"/>
              </w:rPr>
            </w:pPr>
          </w:p>
        </w:tc>
        <w:tc>
          <w:tcPr>
            <w:tcW w:w="4247" w:type="dxa"/>
            <w:vAlign w:val="center"/>
          </w:tcPr>
          <w:p w14:paraId="06763A48" w14:textId="77777777" w:rsidR="00203FB7" w:rsidRPr="00A92A3E" w:rsidRDefault="00203FB7" w:rsidP="00773CF6">
            <w:pPr>
              <w:spacing w:before="0" w:after="0"/>
              <w:jc w:val="center"/>
              <w:rPr>
                <w:rFonts w:asciiTheme="minorHAnsi" w:hAnsiTheme="minorHAnsi" w:cstheme="minorHAnsi"/>
                <w:sz w:val="16"/>
                <w:szCs w:val="16"/>
              </w:rPr>
            </w:pPr>
          </w:p>
        </w:tc>
      </w:tr>
      <w:tr w:rsidR="00203FB7" w:rsidRPr="00A92A3E" w14:paraId="0BE10E99" w14:textId="77777777" w:rsidTr="00773CF6">
        <w:tc>
          <w:tcPr>
            <w:tcW w:w="4247" w:type="dxa"/>
            <w:vAlign w:val="center"/>
          </w:tcPr>
          <w:p w14:paraId="11654594" w14:textId="1ADBDBBB" w:rsidR="00203FB7" w:rsidRPr="00A92A3E" w:rsidRDefault="00203FB7" w:rsidP="00773CF6">
            <w:pPr>
              <w:spacing w:before="0" w:after="0"/>
              <w:contextualSpacing/>
              <w:jc w:val="center"/>
              <w:rPr>
                <w:rFonts w:asciiTheme="minorHAnsi" w:hAnsiTheme="minorHAnsi" w:cstheme="minorHAnsi"/>
                <w:sz w:val="16"/>
                <w:szCs w:val="16"/>
              </w:rPr>
            </w:pPr>
          </w:p>
        </w:tc>
        <w:tc>
          <w:tcPr>
            <w:tcW w:w="4247" w:type="dxa"/>
            <w:vAlign w:val="center"/>
          </w:tcPr>
          <w:p w14:paraId="752AF40A" w14:textId="77777777" w:rsidR="00203FB7" w:rsidRPr="00A92A3E" w:rsidRDefault="00203FB7" w:rsidP="00773CF6">
            <w:pPr>
              <w:spacing w:before="0" w:after="0"/>
              <w:jc w:val="center"/>
              <w:rPr>
                <w:rFonts w:asciiTheme="minorHAnsi" w:hAnsiTheme="minorHAnsi" w:cstheme="minorHAnsi"/>
                <w:sz w:val="16"/>
                <w:szCs w:val="16"/>
              </w:rPr>
            </w:pPr>
          </w:p>
        </w:tc>
      </w:tr>
    </w:tbl>
    <w:p w14:paraId="219D1578" w14:textId="6DA8B71E" w:rsidR="009C52B3" w:rsidRPr="00A92A3E" w:rsidRDefault="009C52B3" w:rsidP="00203FB7">
      <w:pPr>
        <w:spacing w:before="0" w:after="160" w:line="259" w:lineRule="auto"/>
        <w:jc w:val="center"/>
        <w:rPr>
          <w:rFonts w:asciiTheme="minorHAnsi" w:hAnsiTheme="minorHAnsi" w:cstheme="minorHAnsi"/>
          <w:b/>
          <w:bCs/>
          <w:sz w:val="16"/>
          <w:szCs w:val="16"/>
        </w:rPr>
      </w:pPr>
      <w:r w:rsidRPr="00A92A3E">
        <w:rPr>
          <w:rFonts w:asciiTheme="minorHAnsi" w:hAnsiTheme="minorHAnsi" w:cstheme="minorHAnsi"/>
          <w:b/>
          <w:bCs/>
          <w:sz w:val="16"/>
          <w:szCs w:val="16"/>
        </w:rPr>
        <w:t>Membros do Conselho Deliberativo</w:t>
      </w:r>
    </w:p>
    <w:p w14:paraId="3D14DB36" w14:textId="77777777" w:rsidR="009E027A" w:rsidRPr="00A92A3E" w:rsidRDefault="009E027A" w:rsidP="009C52B3">
      <w:pPr>
        <w:spacing w:before="0"/>
        <w:jc w:val="center"/>
        <w:rPr>
          <w:rFonts w:asciiTheme="minorHAnsi" w:hAnsiTheme="minorHAnsi" w:cstheme="minorHAnsi"/>
          <w:b/>
          <w:bCs/>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C52B3" w:rsidRPr="00A92A3E" w14:paraId="091E7360" w14:textId="77777777" w:rsidTr="009E027A">
        <w:tc>
          <w:tcPr>
            <w:tcW w:w="4247" w:type="dxa"/>
            <w:vAlign w:val="center"/>
          </w:tcPr>
          <w:p w14:paraId="4E6A7BB9" w14:textId="77777777" w:rsidR="00D448B8" w:rsidRDefault="00D448B8" w:rsidP="00184B6A">
            <w:pPr>
              <w:spacing w:before="0" w:after="0"/>
              <w:jc w:val="center"/>
              <w:rPr>
                <w:rFonts w:asciiTheme="minorHAnsi" w:hAnsiTheme="minorHAnsi" w:cstheme="minorHAnsi"/>
                <w:sz w:val="16"/>
                <w:szCs w:val="16"/>
              </w:rPr>
            </w:pPr>
          </w:p>
          <w:p w14:paraId="122686B4" w14:textId="7320DA7A" w:rsidR="009C52B3" w:rsidRPr="00A92A3E" w:rsidRDefault="009C52B3" w:rsidP="00184B6A">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c>
          <w:tcPr>
            <w:tcW w:w="4247" w:type="dxa"/>
            <w:vAlign w:val="center"/>
          </w:tcPr>
          <w:p w14:paraId="4FD3F045" w14:textId="77777777" w:rsidR="00D448B8" w:rsidRDefault="00D448B8" w:rsidP="00184B6A">
            <w:pPr>
              <w:spacing w:before="0" w:after="0"/>
              <w:jc w:val="center"/>
              <w:rPr>
                <w:rFonts w:asciiTheme="minorHAnsi" w:hAnsiTheme="minorHAnsi" w:cstheme="minorHAnsi"/>
                <w:sz w:val="16"/>
                <w:szCs w:val="16"/>
              </w:rPr>
            </w:pPr>
          </w:p>
          <w:p w14:paraId="6B0A6701" w14:textId="75476AAA" w:rsidR="009C52B3" w:rsidRPr="00A92A3E" w:rsidRDefault="009C52B3" w:rsidP="00184B6A">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r>
      <w:tr w:rsidR="009C52B3" w:rsidRPr="00A92A3E" w14:paraId="7AE019DD" w14:textId="77777777" w:rsidTr="009E027A">
        <w:tc>
          <w:tcPr>
            <w:tcW w:w="4247" w:type="dxa"/>
            <w:vAlign w:val="center"/>
          </w:tcPr>
          <w:p w14:paraId="703CCD77" w14:textId="16719D29" w:rsidR="009C52B3" w:rsidRPr="00A92A3E" w:rsidRDefault="00203FB7" w:rsidP="00184B6A">
            <w:pPr>
              <w:spacing w:before="0" w:after="0"/>
              <w:jc w:val="center"/>
              <w:rPr>
                <w:rFonts w:asciiTheme="minorHAnsi" w:hAnsiTheme="minorHAnsi" w:cstheme="minorHAnsi"/>
                <w:sz w:val="16"/>
                <w:szCs w:val="16"/>
              </w:rPr>
            </w:pPr>
            <w:r>
              <w:rPr>
                <w:rFonts w:asciiTheme="minorHAnsi" w:hAnsiTheme="minorHAnsi" w:cstheme="minorHAnsi"/>
                <w:sz w:val="16"/>
                <w:szCs w:val="16"/>
              </w:rPr>
              <w:t>Fábio Franceschini</w:t>
            </w:r>
          </w:p>
        </w:tc>
        <w:tc>
          <w:tcPr>
            <w:tcW w:w="4247" w:type="dxa"/>
            <w:vAlign w:val="center"/>
          </w:tcPr>
          <w:p w14:paraId="67A332C8" w14:textId="30EDAB75" w:rsidR="009C52B3" w:rsidRPr="00A92A3E" w:rsidRDefault="00203FB7" w:rsidP="00184B6A">
            <w:pPr>
              <w:spacing w:before="0" w:after="0"/>
              <w:jc w:val="center"/>
              <w:rPr>
                <w:rFonts w:asciiTheme="minorHAnsi" w:hAnsiTheme="minorHAnsi" w:cstheme="minorHAnsi"/>
                <w:sz w:val="16"/>
                <w:szCs w:val="16"/>
              </w:rPr>
            </w:pPr>
            <w:r>
              <w:rPr>
                <w:rFonts w:asciiTheme="minorHAnsi" w:hAnsiTheme="minorHAnsi" w:cstheme="minorHAnsi"/>
                <w:sz w:val="16"/>
                <w:szCs w:val="16"/>
              </w:rPr>
              <w:t>Michel Correa Lima</w:t>
            </w:r>
          </w:p>
        </w:tc>
      </w:tr>
      <w:tr w:rsidR="009C52B3" w:rsidRPr="00A92A3E" w14:paraId="575DF14F" w14:textId="77777777" w:rsidTr="009E027A">
        <w:tc>
          <w:tcPr>
            <w:tcW w:w="4247" w:type="dxa"/>
            <w:vAlign w:val="center"/>
          </w:tcPr>
          <w:p w14:paraId="024D331E" w14:textId="01E894C4" w:rsidR="009C52B3" w:rsidRPr="00A92A3E" w:rsidRDefault="00203FB7" w:rsidP="00184B6A">
            <w:pPr>
              <w:spacing w:before="0" w:after="0"/>
              <w:jc w:val="center"/>
              <w:rPr>
                <w:rFonts w:asciiTheme="minorHAnsi" w:hAnsiTheme="minorHAnsi" w:cstheme="minorHAnsi"/>
                <w:sz w:val="16"/>
                <w:szCs w:val="16"/>
              </w:rPr>
            </w:pPr>
            <w:r>
              <w:rPr>
                <w:rFonts w:asciiTheme="minorHAnsi" w:hAnsiTheme="minorHAnsi" w:cstheme="minorHAnsi"/>
                <w:sz w:val="16"/>
                <w:szCs w:val="16"/>
              </w:rPr>
              <w:t>Presidente</w:t>
            </w:r>
          </w:p>
        </w:tc>
        <w:tc>
          <w:tcPr>
            <w:tcW w:w="4247" w:type="dxa"/>
            <w:vAlign w:val="center"/>
          </w:tcPr>
          <w:p w14:paraId="66AEB4E0" w14:textId="439614B3" w:rsidR="009C52B3" w:rsidRPr="00A92A3E" w:rsidRDefault="009C52B3" w:rsidP="00184B6A">
            <w:pPr>
              <w:spacing w:before="0" w:after="0"/>
              <w:jc w:val="center"/>
              <w:rPr>
                <w:rFonts w:asciiTheme="minorHAnsi" w:hAnsiTheme="minorHAnsi" w:cstheme="minorHAnsi"/>
                <w:sz w:val="16"/>
                <w:szCs w:val="16"/>
              </w:rPr>
            </w:pPr>
          </w:p>
        </w:tc>
      </w:tr>
    </w:tbl>
    <w:p w14:paraId="6E69F27C" w14:textId="77777777" w:rsidR="009C52B3" w:rsidRPr="00A92A3E" w:rsidRDefault="009C52B3" w:rsidP="007B0892">
      <w:pPr>
        <w:rPr>
          <w:rFonts w:asciiTheme="minorHAnsi" w:hAnsiTheme="minorHAnsi" w:cstheme="minorHAnsi"/>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C52B3" w:rsidRPr="00A92A3E" w14:paraId="3A61BDFB" w14:textId="77777777" w:rsidTr="009E027A">
        <w:tc>
          <w:tcPr>
            <w:tcW w:w="4247" w:type="dxa"/>
            <w:vAlign w:val="center"/>
          </w:tcPr>
          <w:p w14:paraId="3C146A88" w14:textId="77777777" w:rsidR="009C52B3" w:rsidRPr="00A92A3E" w:rsidRDefault="009C52B3" w:rsidP="00184B6A">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c>
          <w:tcPr>
            <w:tcW w:w="4247" w:type="dxa"/>
            <w:vAlign w:val="center"/>
          </w:tcPr>
          <w:p w14:paraId="7647C51C" w14:textId="77777777" w:rsidR="009C52B3" w:rsidRPr="00A92A3E" w:rsidRDefault="009C52B3" w:rsidP="00184B6A">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r>
      <w:tr w:rsidR="009C52B3" w:rsidRPr="00A92A3E" w14:paraId="63A8E7C4" w14:textId="77777777" w:rsidTr="009E027A">
        <w:tc>
          <w:tcPr>
            <w:tcW w:w="4247" w:type="dxa"/>
            <w:vAlign w:val="center"/>
          </w:tcPr>
          <w:p w14:paraId="52C214EF" w14:textId="5FDCB24E" w:rsidR="009C52B3" w:rsidRPr="00A92A3E" w:rsidRDefault="00203FB7" w:rsidP="00203FB7">
            <w:pPr>
              <w:spacing w:before="0" w:after="0"/>
              <w:jc w:val="center"/>
              <w:rPr>
                <w:rFonts w:asciiTheme="minorHAnsi" w:hAnsiTheme="minorHAnsi" w:cstheme="minorHAnsi"/>
                <w:sz w:val="16"/>
                <w:szCs w:val="16"/>
              </w:rPr>
            </w:pPr>
            <w:r>
              <w:rPr>
                <w:rFonts w:asciiTheme="minorHAnsi" w:hAnsiTheme="minorHAnsi" w:cstheme="minorHAnsi"/>
                <w:sz w:val="16"/>
                <w:szCs w:val="16"/>
              </w:rPr>
              <w:t>Tania Candozini Russo</w:t>
            </w:r>
          </w:p>
        </w:tc>
        <w:tc>
          <w:tcPr>
            <w:tcW w:w="4247" w:type="dxa"/>
            <w:vAlign w:val="center"/>
          </w:tcPr>
          <w:p w14:paraId="7AA9EAFD" w14:textId="4CA31BA8" w:rsidR="009C52B3" w:rsidRPr="00A92A3E" w:rsidRDefault="00203FB7" w:rsidP="00203FB7">
            <w:pPr>
              <w:spacing w:before="0" w:after="0"/>
              <w:jc w:val="center"/>
              <w:rPr>
                <w:rFonts w:asciiTheme="minorHAnsi" w:hAnsiTheme="minorHAnsi" w:cstheme="minorHAnsi"/>
                <w:sz w:val="16"/>
                <w:szCs w:val="16"/>
              </w:rPr>
            </w:pPr>
            <w:r>
              <w:rPr>
                <w:rFonts w:asciiTheme="minorHAnsi" w:hAnsiTheme="minorHAnsi" w:cstheme="minorHAnsi"/>
                <w:sz w:val="16"/>
                <w:szCs w:val="16"/>
              </w:rPr>
              <w:t>Naflavia Dias Cintra Politano</w:t>
            </w:r>
          </w:p>
        </w:tc>
      </w:tr>
      <w:tr w:rsidR="009C52B3" w:rsidRPr="00A92A3E" w14:paraId="67D3BE4B" w14:textId="77777777" w:rsidTr="009E027A">
        <w:tc>
          <w:tcPr>
            <w:tcW w:w="4247" w:type="dxa"/>
            <w:vAlign w:val="center"/>
          </w:tcPr>
          <w:p w14:paraId="61D02DC8" w14:textId="34C6B236" w:rsidR="009C52B3" w:rsidRPr="00A92A3E" w:rsidRDefault="009C52B3" w:rsidP="00184B6A">
            <w:pPr>
              <w:spacing w:before="0" w:after="0"/>
              <w:jc w:val="center"/>
              <w:rPr>
                <w:rFonts w:asciiTheme="minorHAnsi" w:hAnsiTheme="minorHAnsi" w:cstheme="minorHAnsi"/>
                <w:sz w:val="16"/>
                <w:szCs w:val="16"/>
              </w:rPr>
            </w:pPr>
          </w:p>
        </w:tc>
        <w:tc>
          <w:tcPr>
            <w:tcW w:w="4247" w:type="dxa"/>
            <w:vAlign w:val="center"/>
          </w:tcPr>
          <w:p w14:paraId="0A793ADC" w14:textId="0499227C" w:rsidR="009C52B3" w:rsidRPr="00A92A3E" w:rsidRDefault="009C52B3" w:rsidP="00184B6A">
            <w:pPr>
              <w:spacing w:before="0" w:after="0"/>
              <w:jc w:val="center"/>
              <w:rPr>
                <w:rFonts w:asciiTheme="minorHAnsi" w:hAnsiTheme="minorHAnsi" w:cstheme="minorHAnsi"/>
                <w:sz w:val="16"/>
                <w:szCs w:val="16"/>
              </w:rPr>
            </w:pPr>
          </w:p>
        </w:tc>
      </w:tr>
    </w:tbl>
    <w:p w14:paraId="264F86A6" w14:textId="77777777" w:rsidR="009C52B3" w:rsidRPr="00A92A3E" w:rsidRDefault="009C52B3" w:rsidP="007B0892">
      <w:pPr>
        <w:rPr>
          <w:rFonts w:asciiTheme="minorHAnsi" w:hAnsiTheme="minorHAnsi" w:cstheme="minorHAnsi"/>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C52B3" w:rsidRPr="00A92A3E" w14:paraId="437D4BDA" w14:textId="77777777" w:rsidTr="009E027A">
        <w:tc>
          <w:tcPr>
            <w:tcW w:w="4247" w:type="dxa"/>
            <w:vAlign w:val="center"/>
          </w:tcPr>
          <w:p w14:paraId="01985751" w14:textId="77777777" w:rsidR="009C52B3" w:rsidRPr="00A92A3E" w:rsidRDefault="009C52B3" w:rsidP="00184B6A">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c>
          <w:tcPr>
            <w:tcW w:w="4247" w:type="dxa"/>
            <w:vAlign w:val="center"/>
          </w:tcPr>
          <w:p w14:paraId="4C5A690F" w14:textId="77777777" w:rsidR="009C52B3" w:rsidRPr="00203FB7" w:rsidRDefault="009C52B3" w:rsidP="00184B6A">
            <w:pPr>
              <w:spacing w:before="0" w:after="0"/>
              <w:jc w:val="center"/>
              <w:rPr>
                <w:rFonts w:ascii="Calibri" w:hAnsi="Calibri" w:cs="Calibri"/>
                <w:sz w:val="16"/>
                <w:szCs w:val="16"/>
              </w:rPr>
            </w:pPr>
            <w:r w:rsidRPr="00203FB7">
              <w:rPr>
                <w:rFonts w:ascii="Calibri" w:hAnsi="Calibri" w:cs="Calibri"/>
                <w:sz w:val="16"/>
                <w:szCs w:val="16"/>
              </w:rPr>
              <w:t>_________________________________________________</w:t>
            </w:r>
          </w:p>
        </w:tc>
      </w:tr>
      <w:tr w:rsidR="009C52B3" w:rsidRPr="00A92A3E" w14:paraId="0C514105" w14:textId="77777777" w:rsidTr="009E027A">
        <w:tc>
          <w:tcPr>
            <w:tcW w:w="4247" w:type="dxa"/>
            <w:vAlign w:val="center"/>
          </w:tcPr>
          <w:p w14:paraId="38D3C29D" w14:textId="7D7A8B49" w:rsidR="009C52B3" w:rsidRPr="00A92A3E" w:rsidRDefault="00203FB7" w:rsidP="00203FB7">
            <w:pPr>
              <w:spacing w:before="0" w:after="0"/>
              <w:jc w:val="center"/>
              <w:rPr>
                <w:rFonts w:asciiTheme="minorHAnsi" w:hAnsiTheme="minorHAnsi" w:cstheme="minorHAnsi"/>
                <w:sz w:val="16"/>
                <w:szCs w:val="16"/>
              </w:rPr>
            </w:pPr>
            <w:r>
              <w:rPr>
                <w:rFonts w:asciiTheme="minorHAnsi" w:hAnsiTheme="minorHAnsi" w:cstheme="minorHAnsi"/>
                <w:sz w:val="16"/>
                <w:szCs w:val="16"/>
              </w:rPr>
              <w:t>Luis Carlos de Souza da Luz</w:t>
            </w:r>
          </w:p>
        </w:tc>
        <w:tc>
          <w:tcPr>
            <w:tcW w:w="4247" w:type="dxa"/>
            <w:vAlign w:val="center"/>
          </w:tcPr>
          <w:p w14:paraId="2EDDC166" w14:textId="40221F23" w:rsidR="009C52B3" w:rsidRPr="00203FB7" w:rsidRDefault="00D448B8" w:rsidP="00D448B8">
            <w:pPr>
              <w:spacing w:before="0" w:after="0"/>
              <w:jc w:val="center"/>
              <w:rPr>
                <w:rFonts w:ascii="Calibri" w:hAnsi="Calibri" w:cs="Calibri"/>
                <w:sz w:val="16"/>
                <w:szCs w:val="16"/>
              </w:rPr>
            </w:pPr>
            <w:r>
              <w:rPr>
                <w:rFonts w:asciiTheme="minorHAnsi" w:hAnsiTheme="minorHAnsi" w:cstheme="minorHAnsi"/>
                <w:sz w:val="16"/>
                <w:szCs w:val="16"/>
              </w:rPr>
              <w:t>Suely Moreno Sperling</w:t>
            </w:r>
          </w:p>
        </w:tc>
      </w:tr>
      <w:tr w:rsidR="009C52B3" w:rsidRPr="00A92A3E" w14:paraId="24E6161E" w14:textId="77777777" w:rsidTr="009E027A">
        <w:tc>
          <w:tcPr>
            <w:tcW w:w="4247" w:type="dxa"/>
            <w:vAlign w:val="center"/>
          </w:tcPr>
          <w:p w14:paraId="243823ED" w14:textId="37F814BB" w:rsidR="009C52B3" w:rsidRPr="00A92A3E" w:rsidRDefault="009C52B3" w:rsidP="00184B6A">
            <w:pPr>
              <w:spacing w:before="0" w:after="0"/>
              <w:jc w:val="center"/>
              <w:rPr>
                <w:rFonts w:asciiTheme="minorHAnsi" w:hAnsiTheme="minorHAnsi" w:cstheme="minorHAnsi"/>
                <w:sz w:val="16"/>
                <w:szCs w:val="16"/>
              </w:rPr>
            </w:pPr>
          </w:p>
        </w:tc>
        <w:tc>
          <w:tcPr>
            <w:tcW w:w="4247" w:type="dxa"/>
            <w:vAlign w:val="center"/>
          </w:tcPr>
          <w:p w14:paraId="18C6FD0A" w14:textId="4B571CD0" w:rsidR="009C52B3" w:rsidRPr="00A92A3E" w:rsidRDefault="009C52B3" w:rsidP="00184B6A">
            <w:pPr>
              <w:spacing w:before="0" w:after="0"/>
              <w:jc w:val="center"/>
              <w:rPr>
                <w:rFonts w:asciiTheme="minorHAnsi" w:hAnsiTheme="minorHAnsi" w:cstheme="minorHAnsi"/>
                <w:sz w:val="16"/>
                <w:szCs w:val="16"/>
              </w:rPr>
            </w:pPr>
          </w:p>
        </w:tc>
      </w:tr>
    </w:tbl>
    <w:p w14:paraId="54B01166" w14:textId="05DEB325" w:rsidR="009C52B3" w:rsidRDefault="009C52B3" w:rsidP="007B0892">
      <w:pPr>
        <w:rPr>
          <w:rFonts w:asciiTheme="minorHAnsi" w:hAnsiTheme="minorHAnsi" w:cstheme="minorHAnsi"/>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03FB7" w:rsidRPr="00203FB7" w14:paraId="48D73D7D" w14:textId="77777777" w:rsidTr="00773CF6">
        <w:tc>
          <w:tcPr>
            <w:tcW w:w="4247" w:type="dxa"/>
            <w:vAlign w:val="center"/>
          </w:tcPr>
          <w:p w14:paraId="59161317" w14:textId="77777777" w:rsidR="00203FB7" w:rsidRPr="00A92A3E" w:rsidRDefault="00203FB7" w:rsidP="00773CF6">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c>
          <w:tcPr>
            <w:tcW w:w="4247" w:type="dxa"/>
            <w:vAlign w:val="center"/>
          </w:tcPr>
          <w:p w14:paraId="3EE741E1" w14:textId="77777777" w:rsidR="00203FB7" w:rsidRPr="00203FB7" w:rsidRDefault="00203FB7" w:rsidP="00773CF6">
            <w:pPr>
              <w:spacing w:before="0" w:after="0"/>
              <w:jc w:val="center"/>
              <w:rPr>
                <w:rFonts w:ascii="Calibri" w:hAnsi="Calibri" w:cs="Calibri"/>
                <w:sz w:val="16"/>
                <w:szCs w:val="16"/>
              </w:rPr>
            </w:pPr>
            <w:r w:rsidRPr="00203FB7">
              <w:rPr>
                <w:rFonts w:ascii="Calibri" w:hAnsi="Calibri" w:cs="Calibri"/>
                <w:sz w:val="16"/>
                <w:szCs w:val="16"/>
              </w:rPr>
              <w:t>_________________________________________________</w:t>
            </w:r>
          </w:p>
        </w:tc>
      </w:tr>
      <w:tr w:rsidR="00203FB7" w:rsidRPr="00203FB7" w14:paraId="43131CD7" w14:textId="77777777" w:rsidTr="00773CF6">
        <w:tc>
          <w:tcPr>
            <w:tcW w:w="4247" w:type="dxa"/>
            <w:vAlign w:val="center"/>
          </w:tcPr>
          <w:p w14:paraId="045EBBB5" w14:textId="24F6679E" w:rsidR="00203FB7" w:rsidRPr="00A92A3E" w:rsidRDefault="00203FB7" w:rsidP="00203FB7">
            <w:pPr>
              <w:spacing w:before="0" w:after="0"/>
              <w:jc w:val="center"/>
              <w:rPr>
                <w:rFonts w:asciiTheme="minorHAnsi" w:hAnsiTheme="minorHAnsi" w:cstheme="minorHAnsi"/>
                <w:sz w:val="16"/>
                <w:szCs w:val="16"/>
              </w:rPr>
            </w:pPr>
            <w:r>
              <w:rPr>
                <w:rFonts w:asciiTheme="minorHAnsi" w:hAnsiTheme="minorHAnsi" w:cstheme="minorHAnsi"/>
                <w:sz w:val="16"/>
                <w:szCs w:val="16"/>
              </w:rPr>
              <w:t>Adalberto de Lima</w:t>
            </w:r>
          </w:p>
        </w:tc>
        <w:tc>
          <w:tcPr>
            <w:tcW w:w="4247" w:type="dxa"/>
            <w:vAlign w:val="center"/>
          </w:tcPr>
          <w:p w14:paraId="4153B352" w14:textId="1687F267" w:rsidR="00203FB7" w:rsidRPr="00203FB7" w:rsidRDefault="00E72428" w:rsidP="00E72428">
            <w:pPr>
              <w:spacing w:before="0" w:after="0"/>
              <w:jc w:val="center"/>
              <w:rPr>
                <w:rFonts w:ascii="Calibri" w:hAnsi="Calibri" w:cs="Calibri"/>
                <w:sz w:val="16"/>
                <w:szCs w:val="16"/>
              </w:rPr>
            </w:pPr>
            <w:r>
              <w:rPr>
                <w:rFonts w:asciiTheme="minorHAnsi" w:hAnsiTheme="minorHAnsi" w:cstheme="minorHAnsi"/>
                <w:sz w:val="16"/>
                <w:szCs w:val="16"/>
              </w:rPr>
              <w:t>Valdir Antonio Parisi</w:t>
            </w:r>
          </w:p>
        </w:tc>
      </w:tr>
    </w:tbl>
    <w:p w14:paraId="3D503CDF" w14:textId="77777777" w:rsidR="00E72428" w:rsidRDefault="00E72428" w:rsidP="00E72428">
      <w:pPr>
        <w:spacing w:before="0" w:after="160" w:line="259" w:lineRule="auto"/>
        <w:jc w:val="center"/>
        <w:rPr>
          <w:rFonts w:asciiTheme="minorHAnsi" w:hAnsiTheme="minorHAnsi" w:cstheme="minorHAnsi"/>
          <w:b/>
          <w:bCs/>
          <w:sz w:val="16"/>
          <w:szCs w:val="16"/>
        </w:rPr>
      </w:pPr>
    </w:p>
    <w:p w14:paraId="56D193F3" w14:textId="5E260BBE" w:rsidR="00E72428" w:rsidRPr="00A92A3E" w:rsidRDefault="00E72428" w:rsidP="00E72428">
      <w:pPr>
        <w:spacing w:before="0" w:after="160" w:line="259" w:lineRule="auto"/>
        <w:jc w:val="center"/>
        <w:rPr>
          <w:rFonts w:asciiTheme="minorHAnsi" w:hAnsiTheme="minorHAnsi" w:cstheme="minorHAnsi"/>
          <w:b/>
          <w:bCs/>
          <w:sz w:val="16"/>
          <w:szCs w:val="16"/>
        </w:rPr>
      </w:pPr>
      <w:r>
        <w:rPr>
          <w:rFonts w:asciiTheme="minorHAnsi" w:hAnsiTheme="minorHAnsi" w:cstheme="minorHAnsi"/>
          <w:b/>
          <w:bCs/>
          <w:sz w:val="16"/>
          <w:szCs w:val="16"/>
        </w:rPr>
        <w:t>Membros do Conselho Fiscal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72428" w:rsidRPr="00A92A3E" w14:paraId="2AE8B0C4" w14:textId="77777777" w:rsidTr="00773CF6">
        <w:tc>
          <w:tcPr>
            <w:tcW w:w="4247" w:type="dxa"/>
            <w:vAlign w:val="center"/>
          </w:tcPr>
          <w:p w14:paraId="5CAC94DF" w14:textId="77777777" w:rsidR="00E72428" w:rsidRDefault="00E72428" w:rsidP="00773CF6">
            <w:pPr>
              <w:spacing w:before="0" w:after="0"/>
              <w:jc w:val="center"/>
              <w:rPr>
                <w:rFonts w:asciiTheme="minorHAnsi" w:hAnsiTheme="minorHAnsi" w:cstheme="minorHAnsi"/>
                <w:sz w:val="16"/>
                <w:szCs w:val="16"/>
              </w:rPr>
            </w:pPr>
          </w:p>
          <w:p w14:paraId="63D817E9" w14:textId="77777777" w:rsidR="00E72428" w:rsidRPr="00A92A3E" w:rsidRDefault="00E72428" w:rsidP="00773CF6">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c>
          <w:tcPr>
            <w:tcW w:w="4247" w:type="dxa"/>
            <w:vAlign w:val="center"/>
          </w:tcPr>
          <w:p w14:paraId="741A2ADF" w14:textId="77777777" w:rsidR="00E72428" w:rsidRDefault="00E72428" w:rsidP="00773CF6">
            <w:pPr>
              <w:spacing w:before="0" w:after="0"/>
              <w:jc w:val="center"/>
              <w:rPr>
                <w:rFonts w:asciiTheme="minorHAnsi" w:hAnsiTheme="minorHAnsi" w:cstheme="minorHAnsi"/>
                <w:sz w:val="16"/>
                <w:szCs w:val="16"/>
              </w:rPr>
            </w:pPr>
          </w:p>
          <w:p w14:paraId="2AEB9610" w14:textId="77777777" w:rsidR="00E72428" w:rsidRPr="00A92A3E" w:rsidRDefault="00E72428" w:rsidP="00773CF6">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r>
      <w:tr w:rsidR="00E72428" w:rsidRPr="00A92A3E" w14:paraId="6E4284FC" w14:textId="77777777" w:rsidTr="00773CF6">
        <w:tc>
          <w:tcPr>
            <w:tcW w:w="4247" w:type="dxa"/>
            <w:vAlign w:val="center"/>
          </w:tcPr>
          <w:p w14:paraId="3BD21796" w14:textId="12BCD8E7" w:rsidR="00E72428" w:rsidRPr="00A92A3E" w:rsidRDefault="00E72428" w:rsidP="00E72428">
            <w:pPr>
              <w:spacing w:before="0" w:after="0"/>
              <w:jc w:val="center"/>
              <w:rPr>
                <w:rFonts w:asciiTheme="minorHAnsi" w:hAnsiTheme="minorHAnsi" w:cstheme="minorHAnsi"/>
                <w:sz w:val="16"/>
                <w:szCs w:val="16"/>
              </w:rPr>
            </w:pPr>
            <w:r>
              <w:rPr>
                <w:rFonts w:asciiTheme="minorHAnsi" w:hAnsiTheme="minorHAnsi" w:cstheme="minorHAnsi"/>
                <w:sz w:val="16"/>
                <w:szCs w:val="16"/>
              </w:rPr>
              <w:t>José Luiz Carpi</w:t>
            </w:r>
          </w:p>
        </w:tc>
        <w:tc>
          <w:tcPr>
            <w:tcW w:w="4247" w:type="dxa"/>
            <w:vAlign w:val="center"/>
          </w:tcPr>
          <w:p w14:paraId="05DF9ACE" w14:textId="268774F9" w:rsidR="00E72428" w:rsidRPr="00A92A3E" w:rsidRDefault="00E72428" w:rsidP="00E72428">
            <w:pPr>
              <w:spacing w:before="0" w:after="0"/>
              <w:jc w:val="center"/>
              <w:rPr>
                <w:rFonts w:asciiTheme="minorHAnsi" w:hAnsiTheme="minorHAnsi" w:cstheme="minorHAnsi"/>
                <w:sz w:val="16"/>
                <w:szCs w:val="16"/>
              </w:rPr>
            </w:pPr>
            <w:r>
              <w:rPr>
                <w:rFonts w:asciiTheme="minorHAnsi" w:hAnsiTheme="minorHAnsi" w:cstheme="minorHAnsi"/>
                <w:sz w:val="16"/>
                <w:szCs w:val="16"/>
              </w:rPr>
              <w:t>Giani Kemilin de Lima Souza</w:t>
            </w:r>
          </w:p>
        </w:tc>
      </w:tr>
      <w:tr w:rsidR="00E72428" w:rsidRPr="00A92A3E" w14:paraId="607A02DB" w14:textId="77777777" w:rsidTr="00773CF6">
        <w:tc>
          <w:tcPr>
            <w:tcW w:w="4247" w:type="dxa"/>
            <w:vAlign w:val="center"/>
          </w:tcPr>
          <w:p w14:paraId="53285C9D" w14:textId="77777777" w:rsidR="00E72428" w:rsidRDefault="00E72428" w:rsidP="00773CF6">
            <w:pPr>
              <w:spacing w:before="0" w:after="0"/>
              <w:jc w:val="center"/>
              <w:rPr>
                <w:rFonts w:asciiTheme="minorHAnsi" w:hAnsiTheme="minorHAnsi" w:cstheme="minorHAnsi"/>
                <w:sz w:val="16"/>
                <w:szCs w:val="16"/>
              </w:rPr>
            </w:pPr>
          </w:p>
          <w:p w14:paraId="08F4A193" w14:textId="24E07D01" w:rsidR="00F449A8" w:rsidRPr="00A92A3E" w:rsidRDefault="00F449A8" w:rsidP="00773CF6">
            <w:pPr>
              <w:spacing w:before="0" w:after="0"/>
              <w:jc w:val="center"/>
              <w:rPr>
                <w:rFonts w:asciiTheme="minorHAnsi" w:hAnsiTheme="minorHAnsi" w:cstheme="minorHAnsi"/>
                <w:sz w:val="16"/>
                <w:szCs w:val="16"/>
              </w:rPr>
            </w:pPr>
          </w:p>
        </w:tc>
        <w:tc>
          <w:tcPr>
            <w:tcW w:w="4247" w:type="dxa"/>
            <w:vAlign w:val="center"/>
          </w:tcPr>
          <w:p w14:paraId="2BE738C7" w14:textId="77777777" w:rsidR="00E72428" w:rsidRPr="00A92A3E" w:rsidRDefault="00E72428" w:rsidP="00773CF6">
            <w:pPr>
              <w:spacing w:before="0" w:after="0"/>
              <w:jc w:val="center"/>
              <w:rPr>
                <w:rFonts w:asciiTheme="minorHAnsi" w:hAnsiTheme="minorHAnsi" w:cstheme="minorHAnsi"/>
                <w:sz w:val="16"/>
                <w:szCs w:val="16"/>
              </w:rPr>
            </w:pPr>
          </w:p>
        </w:tc>
      </w:tr>
      <w:tr w:rsidR="00E72428" w:rsidRPr="00A92A3E" w14:paraId="502D0F2F" w14:textId="77777777" w:rsidTr="00773CF6">
        <w:tc>
          <w:tcPr>
            <w:tcW w:w="4247" w:type="dxa"/>
            <w:vAlign w:val="center"/>
          </w:tcPr>
          <w:p w14:paraId="175FDD6E" w14:textId="77777777" w:rsidR="00E72428" w:rsidRPr="00A92A3E" w:rsidRDefault="00E72428" w:rsidP="00773CF6">
            <w:pPr>
              <w:spacing w:before="0" w:after="0"/>
              <w:jc w:val="center"/>
              <w:rPr>
                <w:rFonts w:asciiTheme="minorHAnsi" w:hAnsiTheme="minorHAnsi" w:cstheme="minorHAnsi"/>
                <w:sz w:val="16"/>
                <w:szCs w:val="16"/>
              </w:rPr>
            </w:pPr>
            <w:r w:rsidRPr="00A92A3E">
              <w:rPr>
                <w:rFonts w:asciiTheme="minorHAnsi" w:hAnsiTheme="minorHAnsi" w:cstheme="minorHAnsi"/>
                <w:sz w:val="16"/>
                <w:szCs w:val="16"/>
              </w:rPr>
              <w:t>_________________________________________________</w:t>
            </w:r>
          </w:p>
        </w:tc>
        <w:tc>
          <w:tcPr>
            <w:tcW w:w="4247" w:type="dxa"/>
            <w:vAlign w:val="center"/>
          </w:tcPr>
          <w:p w14:paraId="53BE8CD1" w14:textId="774F0E6E" w:rsidR="00E72428" w:rsidRPr="00A92A3E" w:rsidRDefault="00E72428" w:rsidP="00773CF6">
            <w:pPr>
              <w:spacing w:before="0" w:after="0"/>
              <w:jc w:val="center"/>
              <w:rPr>
                <w:rFonts w:asciiTheme="minorHAnsi" w:hAnsiTheme="minorHAnsi" w:cstheme="minorHAnsi"/>
                <w:sz w:val="16"/>
                <w:szCs w:val="16"/>
              </w:rPr>
            </w:pPr>
          </w:p>
        </w:tc>
      </w:tr>
      <w:tr w:rsidR="00E72428" w:rsidRPr="00A92A3E" w14:paraId="722E8680" w14:textId="77777777" w:rsidTr="00773CF6">
        <w:tc>
          <w:tcPr>
            <w:tcW w:w="4247" w:type="dxa"/>
            <w:vAlign w:val="center"/>
          </w:tcPr>
          <w:p w14:paraId="6BAC4F12" w14:textId="315B9C36" w:rsidR="00E72428" w:rsidRPr="00A92A3E" w:rsidRDefault="00E72428" w:rsidP="00773CF6">
            <w:pPr>
              <w:spacing w:before="0" w:after="0"/>
              <w:jc w:val="center"/>
              <w:rPr>
                <w:rFonts w:asciiTheme="minorHAnsi" w:hAnsiTheme="minorHAnsi" w:cstheme="minorHAnsi"/>
                <w:sz w:val="16"/>
                <w:szCs w:val="16"/>
              </w:rPr>
            </w:pPr>
            <w:r>
              <w:rPr>
                <w:rFonts w:asciiTheme="minorHAnsi" w:hAnsiTheme="minorHAnsi" w:cstheme="minorHAnsi"/>
                <w:sz w:val="16"/>
                <w:szCs w:val="16"/>
              </w:rPr>
              <w:t>Claudia Mary Candido Alessandrini</w:t>
            </w:r>
          </w:p>
        </w:tc>
        <w:tc>
          <w:tcPr>
            <w:tcW w:w="4247" w:type="dxa"/>
            <w:vAlign w:val="center"/>
          </w:tcPr>
          <w:p w14:paraId="4C624CF1" w14:textId="5655E2D9" w:rsidR="00E72428" w:rsidRPr="00A92A3E" w:rsidRDefault="00E72428" w:rsidP="00E72428">
            <w:pPr>
              <w:spacing w:before="0" w:after="0"/>
              <w:jc w:val="center"/>
              <w:rPr>
                <w:rFonts w:asciiTheme="minorHAnsi" w:hAnsiTheme="minorHAnsi" w:cstheme="minorHAnsi"/>
                <w:sz w:val="16"/>
                <w:szCs w:val="16"/>
              </w:rPr>
            </w:pPr>
          </w:p>
        </w:tc>
      </w:tr>
    </w:tbl>
    <w:p w14:paraId="4B8B58A6" w14:textId="77777777" w:rsidR="00203FB7" w:rsidRPr="00A92A3E" w:rsidRDefault="00203FB7" w:rsidP="00F449A8">
      <w:pPr>
        <w:rPr>
          <w:rFonts w:asciiTheme="minorHAnsi" w:hAnsiTheme="minorHAnsi" w:cstheme="minorHAnsi"/>
          <w:sz w:val="16"/>
          <w:szCs w:val="16"/>
        </w:rPr>
      </w:pPr>
    </w:p>
    <w:sectPr w:rsidR="00203FB7" w:rsidRPr="00A92A3E" w:rsidSect="008557E5">
      <w:footerReference w:type="default" r:id="rId45"/>
      <w:pgSz w:w="11906" w:h="16838"/>
      <w:pgMar w:top="1293" w:right="1701" w:bottom="1135" w:left="1701" w:header="56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EEA11" w14:textId="77777777" w:rsidR="00773CF6" w:rsidRDefault="00773CF6" w:rsidP="006638D4">
      <w:pPr>
        <w:spacing w:before="0" w:after="0"/>
      </w:pPr>
      <w:r>
        <w:separator/>
      </w:r>
    </w:p>
  </w:endnote>
  <w:endnote w:type="continuationSeparator" w:id="0">
    <w:p w14:paraId="68525764" w14:textId="77777777" w:rsidR="00773CF6" w:rsidRDefault="00773CF6" w:rsidP="006638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ntona Light">
    <w:altName w:val="Cambria"/>
    <w:panose1 w:val="00000000000000000000"/>
    <w:charset w:val="00"/>
    <w:family w:val="modern"/>
    <w:notTrueType/>
    <w:pitch w:val="variable"/>
    <w:sig w:usb0="00000007" w:usb1="00000000" w:usb2="00000000" w:usb3="00000000" w:csb0="00000093" w:csb1="00000000"/>
  </w:font>
  <w:font w:name="Gentona Book">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91147"/>
      <w:docPartObj>
        <w:docPartGallery w:val="Page Numbers (Bottom of Page)"/>
        <w:docPartUnique/>
      </w:docPartObj>
    </w:sdtPr>
    <w:sdtEndPr>
      <w:rPr>
        <w:rFonts w:ascii="Calibri" w:hAnsi="Calibri" w:cs="Calibri"/>
        <w:sz w:val="16"/>
        <w:szCs w:val="16"/>
      </w:rPr>
    </w:sdtEndPr>
    <w:sdtContent>
      <w:p w14:paraId="08B9654C" w14:textId="6E2483B7" w:rsidR="00773CF6" w:rsidRDefault="00773CF6">
        <w:pPr>
          <w:pStyle w:val="Rodap"/>
          <w:jc w:val="right"/>
        </w:pPr>
        <w:r w:rsidRPr="00CB2281">
          <w:rPr>
            <w:rFonts w:ascii="Calibri" w:hAnsi="Calibri" w:cs="Calibri"/>
            <w:sz w:val="16"/>
            <w:szCs w:val="16"/>
          </w:rPr>
          <w:fldChar w:fldCharType="begin"/>
        </w:r>
        <w:r w:rsidRPr="00CB2281">
          <w:rPr>
            <w:rFonts w:ascii="Calibri" w:hAnsi="Calibri" w:cs="Calibri"/>
            <w:sz w:val="16"/>
            <w:szCs w:val="16"/>
          </w:rPr>
          <w:instrText>PAGE   \* MERGEFORMAT</w:instrText>
        </w:r>
        <w:r w:rsidRPr="00CB2281">
          <w:rPr>
            <w:rFonts w:ascii="Calibri" w:hAnsi="Calibri" w:cs="Calibri"/>
            <w:sz w:val="16"/>
            <w:szCs w:val="16"/>
          </w:rPr>
          <w:fldChar w:fldCharType="separate"/>
        </w:r>
        <w:r w:rsidR="00F345CA">
          <w:rPr>
            <w:rFonts w:ascii="Calibri" w:hAnsi="Calibri" w:cs="Calibri"/>
            <w:noProof/>
            <w:sz w:val="16"/>
            <w:szCs w:val="16"/>
          </w:rPr>
          <w:t>19</w:t>
        </w:r>
        <w:r w:rsidRPr="00CB2281">
          <w:rPr>
            <w:rFonts w:ascii="Calibri" w:hAnsi="Calibri" w:cs="Calibri"/>
            <w:sz w:val="16"/>
            <w:szCs w:val="16"/>
          </w:rPr>
          <w:fldChar w:fldCharType="end"/>
        </w:r>
      </w:p>
    </w:sdtContent>
  </w:sdt>
  <w:p w14:paraId="1F4EBB60" w14:textId="77777777" w:rsidR="00773CF6" w:rsidRDefault="00773CF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D8629" w14:textId="77777777" w:rsidR="00773CF6" w:rsidRDefault="00773CF6" w:rsidP="006638D4">
      <w:pPr>
        <w:spacing w:before="0" w:after="0"/>
      </w:pPr>
      <w:r>
        <w:separator/>
      </w:r>
    </w:p>
  </w:footnote>
  <w:footnote w:type="continuationSeparator" w:id="0">
    <w:p w14:paraId="115AA282" w14:textId="77777777" w:rsidR="00773CF6" w:rsidRDefault="00773CF6" w:rsidP="006638D4">
      <w:pPr>
        <w:spacing w:before="0" w:after="0"/>
      </w:pPr>
      <w:r>
        <w:continuationSeparator/>
      </w:r>
    </w:p>
  </w:footnote>
  <w:footnote w:id="1">
    <w:p w14:paraId="3C911358" w14:textId="77777777" w:rsidR="00773CF6" w:rsidRPr="00276EFD" w:rsidRDefault="00773CF6" w:rsidP="00500AE2">
      <w:pPr>
        <w:pStyle w:val="Textodenotaderodap"/>
        <w:rPr>
          <w:sz w:val="16"/>
          <w:szCs w:val="16"/>
        </w:rPr>
      </w:pPr>
      <w:r w:rsidRPr="00276EFD">
        <w:rPr>
          <w:rStyle w:val="Refdenotaderodap"/>
          <w:sz w:val="16"/>
          <w:szCs w:val="16"/>
        </w:rPr>
        <w:footnoteRef/>
      </w:r>
      <w:r w:rsidRPr="00276EFD">
        <w:rPr>
          <w:sz w:val="16"/>
          <w:szCs w:val="16"/>
        </w:rPr>
        <w:t xml:space="preserve"> Lei nº 9.717/1998, art. 1º - Os regimes próprios de previdência social dos servidores públicos da União, dos Estados, do Distrito Federal e dos Municípios, dos militares dos Estados e do Distrito Federal deverão ser organizados, baseados em normas gerais de contabilidade e atuária, de modo a garantir o seu equilíbrio financeiro e atuarial (...).</w:t>
      </w:r>
    </w:p>
  </w:footnote>
  <w:footnote w:id="2">
    <w:p w14:paraId="63351FDF" w14:textId="62D89D03" w:rsidR="00773CF6" w:rsidRDefault="00773CF6" w:rsidP="00DC0D5D">
      <w:pPr>
        <w:pStyle w:val="Textodenotaderodap"/>
        <w:jc w:val="left"/>
      </w:pPr>
      <w:r>
        <w:rPr>
          <w:rStyle w:val="Refdenotaderodap"/>
        </w:rPr>
        <w:footnoteRef/>
      </w:r>
      <w:r>
        <w:t xml:space="preserve"> </w:t>
      </w:r>
      <w:r w:rsidRPr="00DC0D5D">
        <w:rPr>
          <w:sz w:val="12"/>
          <w:szCs w:val="12"/>
        </w:rPr>
        <w:t>https://www.gov.br/trabalho-e-previdencia/pt-br/assuntos/previdencia-no-servico-publico/pro-gestao-rpps-certificacao-institucional/manualdacertificacaoprofissionalversao1.1.pdf</w:t>
      </w:r>
    </w:p>
  </w:footnote>
  <w:footnote w:id="3">
    <w:p w14:paraId="56F35397" w14:textId="77777777" w:rsidR="00773CF6" w:rsidRDefault="00773CF6" w:rsidP="008557E5">
      <w:pPr>
        <w:pStyle w:val="Textodenotaderodap"/>
      </w:pPr>
      <w:r>
        <w:rPr>
          <w:rStyle w:val="Refdenotaderodap"/>
        </w:rPr>
        <w:footnoteRef/>
      </w:r>
      <w:r>
        <w:t xml:space="preserve"> </w:t>
      </w:r>
      <w:r w:rsidRPr="0028144E">
        <w:t>https://www.ecb.europa.eu/pub/projections/html/index.pt.html#:~:text=S%C3%ADntese&amp;text=A%20infla%C3%A7%C3%A3o%20dever%C3%A1%20continuar%20a,2%2C1%25%20em%202025.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FB6"/>
    <w:multiLevelType w:val="hybridMultilevel"/>
    <w:tmpl w:val="E06051A8"/>
    <w:lvl w:ilvl="0" w:tplc="C150D3D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540F24"/>
    <w:multiLevelType w:val="hybridMultilevel"/>
    <w:tmpl w:val="F3BAD3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CE14BB"/>
    <w:multiLevelType w:val="multilevel"/>
    <w:tmpl w:val="4392ABF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8C29E8"/>
    <w:multiLevelType w:val="hybridMultilevel"/>
    <w:tmpl w:val="23EC6D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14070A"/>
    <w:multiLevelType w:val="hybridMultilevel"/>
    <w:tmpl w:val="5E4AD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553F6F"/>
    <w:multiLevelType w:val="hybridMultilevel"/>
    <w:tmpl w:val="90A69F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2312CB"/>
    <w:multiLevelType w:val="hybridMultilevel"/>
    <w:tmpl w:val="72AE02E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1E11FB"/>
    <w:multiLevelType w:val="hybridMultilevel"/>
    <w:tmpl w:val="2834C1C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C41202B"/>
    <w:multiLevelType w:val="hybridMultilevel"/>
    <w:tmpl w:val="9DEE47F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D726038"/>
    <w:multiLevelType w:val="hybridMultilevel"/>
    <w:tmpl w:val="2A9859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CF29E0"/>
    <w:multiLevelType w:val="hybridMultilevel"/>
    <w:tmpl w:val="5E1EFD1C"/>
    <w:lvl w:ilvl="0" w:tplc="BAE0D1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D95D6E"/>
    <w:multiLevelType w:val="hybridMultilevel"/>
    <w:tmpl w:val="2A4862B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0973D34"/>
    <w:multiLevelType w:val="hybridMultilevel"/>
    <w:tmpl w:val="4C1E7FD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582763"/>
    <w:multiLevelType w:val="hybridMultilevel"/>
    <w:tmpl w:val="60C03B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DF51D3"/>
    <w:multiLevelType w:val="hybridMultilevel"/>
    <w:tmpl w:val="9EC2FC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5F0429F"/>
    <w:multiLevelType w:val="hybridMultilevel"/>
    <w:tmpl w:val="1B669F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EB50E3"/>
    <w:multiLevelType w:val="hybridMultilevel"/>
    <w:tmpl w:val="D0F83A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F787FCB"/>
    <w:multiLevelType w:val="hybridMultilevel"/>
    <w:tmpl w:val="AE14CEC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0FF069F"/>
    <w:multiLevelType w:val="hybridMultilevel"/>
    <w:tmpl w:val="653293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252D97"/>
    <w:multiLevelType w:val="hybridMultilevel"/>
    <w:tmpl w:val="8A1E09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6E41F28"/>
    <w:multiLevelType w:val="hybridMultilevel"/>
    <w:tmpl w:val="F5428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8C4232A"/>
    <w:multiLevelType w:val="hybridMultilevel"/>
    <w:tmpl w:val="53728E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5E3FAE"/>
    <w:multiLevelType w:val="hybridMultilevel"/>
    <w:tmpl w:val="3EA8FE9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3573ABF"/>
    <w:multiLevelType w:val="hybridMultilevel"/>
    <w:tmpl w:val="F8FEDD4A"/>
    <w:lvl w:ilvl="0" w:tplc="C150D3D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8525DDD"/>
    <w:multiLevelType w:val="hybridMultilevel"/>
    <w:tmpl w:val="7C3EC5A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18D7F6A"/>
    <w:multiLevelType w:val="hybridMultilevel"/>
    <w:tmpl w:val="BC8CFCD0"/>
    <w:lvl w:ilvl="0" w:tplc="C150D3D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33B74C8"/>
    <w:multiLevelType w:val="hybridMultilevel"/>
    <w:tmpl w:val="EA58BD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9546B9D"/>
    <w:multiLevelType w:val="hybridMultilevel"/>
    <w:tmpl w:val="75E8C3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AC539CE"/>
    <w:multiLevelType w:val="hybridMultilevel"/>
    <w:tmpl w:val="8E7A42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21"/>
  </w:num>
  <w:num w:numId="4">
    <w:abstractNumId w:val="19"/>
  </w:num>
  <w:num w:numId="5">
    <w:abstractNumId w:val="27"/>
  </w:num>
  <w:num w:numId="6">
    <w:abstractNumId w:val="1"/>
  </w:num>
  <w:num w:numId="7">
    <w:abstractNumId w:val="26"/>
  </w:num>
  <w:num w:numId="8">
    <w:abstractNumId w:val="15"/>
  </w:num>
  <w:num w:numId="9">
    <w:abstractNumId w:val="28"/>
  </w:num>
  <w:num w:numId="10">
    <w:abstractNumId w:val="3"/>
  </w:num>
  <w:num w:numId="11">
    <w:abstractNumId w:val="5"/>
  </w:num>
  <w:num w:numId="12">
    <w:abstractNumId w:val="0"/>
  </w:num>
  <w:num w:numId="13">
    <w:abstractNumId w:val="18"/>
  </w:num>
  <w:num w:numId="14">
    <w:abstractNumId w:val="23"/>
  </w:num>
  <w:num w:numId="15">
    <w:abstractNumId w:val="20"/>
  </w:num>
  <w:num w:numId="16">
    <w:abstractNumId w:val="14"/>
  </w:num>
  <w:num w:numId="17">
    <w:abstractNumId w:val="4"/>
  </w:num>
  <w:num w:numId="18">
    <w:abstractNumId w:val="13"/>
  </w:num>
  <w:num w:numId="19">
    <w:abstractNumId w:val="9"/>
  </w:num>
  <w:num w:numId="20">
    <w:abstractNumId w:val="16"/>
  </w:num>
  <w:num w:numId="21">
    <w:abstractNumId w:val="25"/>
  </w:num>
  <w:num w:numId="22">
    <w:abstractNumId w:val="24"/>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6"/>
  </w:num>
  <w:num w:numId="27">
    <w:abstractNumId w:val="11"/>
  </w:num>
  <w:num w:numId="28">
    <w:abstractNumId w:val="12"/>
  </w:num>
  <w:num w:numId="29">
    <w:abstractNumId w:val="8"/>
  </w:num>
  <w:num w:numId="30">
    <w:abstractNumId w:val="17"/>
  </w:num>
  <w:num w:numId="31">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D4"/>
    <w:rsid w:val="000008EC"/>
    <w:rsid w:val="00005958"/>
    <w:rsid w:val="00006476"/>
    <w:rsid w:val="00006DC1"/>
    <w:rsid w:val="000074E5"/>
    <w:rsid w:val="000100B4"/>
    <w:rsid w:val="00010F75"/>
    <w:rsid w:val="00014210"/>
    <w:rsid w:val="0001490F"/>
    <w:rsid w:val="000160BE"/>
    <w:rsid w:val="00017C4F"/>
    <w:rsid w:val="00020524"/>
    <w:rsid w:val="00021CC6"/>
    <w:rsid w:val="0002256B"/>
    <w:rsid w:val="000225F6"/>
    <w:rsid w:val="00022E15"/>
    <w:rsid w:val="000241C8"/>
    <w:rsid w:val="00024DC1"/>
    <w:rsid w:val="000434F4"/>
    <w:rsid w:val="00046BFE"/>
    <w:rsid w:val="000470DB"/>
    <w:rsid w:val="00052175"/>
    <w:rsid w:val="0005218B"/>
    <w:rsid w:val="00053CAA"/>
    <w:rsid w:val="00060242"/>
    <w:rsid w:val="000647DF"/>
    <w:rsid w:val="00066FCC"/>
    <w:rsid w:val="0006712C"/>
    <w:rsid w:val="00067B4E"/>
    <w:rsid w:val="00072F11"/>
    <w:rsid w:val="00074791"/>
    <w:rsid w:val="00081251"/>
    <w:rsid w:val="00082995"/>
    <w:rsid w:val="00087A51"/>
    <w:rsid w:val="00095719"/>
    <w:rsid w:val="000965C1"/>
    <w:rsid w:val="00096970"/>
    <w:rsid w:val="000A5029"/>
    <w:rsid w:val="000A5628"/>
    <w:rsid w:val="000A5919"/>
    <w:rsid w:val="000A5FDB"/>
    <w:rsid w:val="000A6DE3"/>
    <w:rsid w:val="000B1042"/>
    <w:rsid w:val="000B148E"/>
    <w:rsid w:val="000B26C5"/>
    <w:rsid w:val="000C40DA"/>
    <w:rsid w:val="000D6E76"/>
    <w:rsid w:val="000E0887"/>
    <w:rsid w:val="000E0932"/>
    <w:rsid w:val="000E4E32"/>
    <w:rsid w:val="000E7C26"/>
    <w:rsid w:val="000F4181"/>
    <w:rsid w:val="000F7D32"/>
    <w:rsid w:val="001022E3"/>
    <w:rsid w:val="001028CF"/>
    <w:rsid w:val="00104A72"/>
    <w:rsid w:val="00106280"/>
    <w:rsid w:val="001063BC"/>
    <w:rsid w:val="00113F32"/>
    <w:rsid w:val="00115683"/>
    <w:rsid w:val="00115F7E"/>
    <w:rsid w:val="001258EF"/>
    <w:rsid w:val="00127461"/>
    <w:rsid w:val="00127B66"/>
    <w:rsid w:val="00133110"/>
    <w:rsid w:val="00141E8A"/>
    <w:rsid w:val="00142748"/>
    <w:rsid w:val="001434F1"/>
    <w:rsid w:val="0014759A"/>
    <w:rsid w:val="00151077"/>
    <w:rsid w:val="0015515E"/>
    <w:rsid w:val="00155C71"/>
    <w:rsid w:val="0015608C"/>
    <w:rsid w:val="00157AAF"/>
    <w:rsid w:val="0016254B"/>
    <w:rsid w:val="00162659"/>
    <w:rsid w:val="00163B87"/>
    <w:rsid w:val="00167BA3"/>
    <w:rsid w:val="00170F56"/>
    <w:rsid w:val="00174692"/>
    <w:rsid w:val="00175FE5"/>
    <w:rsid w:val="00180460"/>
    <w:rsid w:val="001822AB"/>
    <w:rsid w:val="001836C7"/>
    <w:rsid w:val="00184B6A"/>
    <w:rsid w:val="00185774"/>
    <w:rsid w:val="001915CA"/>
    <w:rsid w:val="00195C3D"/>
    <w:rsid w:val="00197F3F"/>
    <w:rsid w:val="001A68C2"/>
    <w:rsid w:val="001A756C"/>
    <w:rsid w:val="001B233C"/>
    <w:rsid w:val="001B76FE"/>
    <w:rsid w:val="001C0869"/>
    <w:rsid w:val="001C1EDA"/>
    <w:rsid w:val="001C261C"/>
    <w:rsid w:val="001C38E8"/>
    <w:rsid w:val="001C6BAE"/>
    <w:rsid w:val="001C71AB"/>
    <w:rsid w:val="001D25E7"/>
    <w:rsid w:val="001D5AD7"/>
    <w:rsid w:val="001D5B0D"/>
    <w:rsid w:val="001E20A2"/>
    <w:rsid w:val="001E6A3C"/>
    <w:rsid w:val="001E7520"/>
    <w:rsid w:val="001F1FDB"/>
    <w:rsid w:val="001F2F5B"/>
    <w:rsid w:val="001F3A04"/>
    <w:rsid w:val="001F6A78"/>
    <w:rsid w:val="00200B4D"/>
    <w:rsid w:val="00200C9E"/>
    <w:rsid w:val="0020106D"/>
    <w:rsid w:val="002012AD"/>
    <w:rsid w:val="00201E77"/>
    <w:rsid w:val="002020A6"/>
    <w:rsid w:val="002027B9"/>
    <w:rsid w:val="00202FA7"/>
    <w:rsid w:val="00203812"/>
    <w:rsid w:val="00203FB7"/>
    <w:rsid w:val="002041B1"/>
    <w:rsid w:val="002100C0"/>
    <w:rsid w:val="00214EF1"/>
    <w:rsid w:val="002150BD"/>
    <w:rsid w:val="00221548"/>
    <w:rsid w:val="00224525"/>
    <w:rsid w:val="0022573F"/>
    <w:rsid w:val="002300AA"/>
    <w:rsid w:val="00230D14"/>
    <w:rsid w:val="00236557"/>
    <w:rsid w:val="00240515"/>
    <w:rsid w:val="00245574"/>
    <w:rsid w:val="00247140"/>
    <w:rsid w:val="00247DFC"/>
    <w:rsid w:val="002525F5"/>
    <w:rsid w:val="0026103D"/>
    <w:rsid w:val="002641DD"/>
    <w:rsid w:val="002673F8"/>
    <w:rsid w:val="00271D30"/>
    <w:rsid w:val="0027210D"/>
    <w:rsid w:val="00274A3E"/>
    <w:rsid w:val="00277825"/>
    <w:rsid w:val="00280E85"/>
    <w:rsid w:val="00281589"/>
    <w:rsid w:val="00281D40"/>
    <w:rsid w:val="00283BA3"/>
    <w:rsid w:val="0028441B"/>
    <w:rsid w:val="002878F7"/>
    <w:rsid w:val="00291F53"/>
    <w:rsid w:val="002922A4"/>
    <w:rsid w:val="00294F38"/>
    <w:rsid w:val="0029631A"/>
    <w:rsid w:val="002A2863"/>
    <w:rsid w:val="002A6915"/>
    <w:rsid w:val="002A7E23"/>
    <w:rsid w:val="002B35A4"/>
    <w:rsid w:val="002B389F"/>
    <w:rsid w:val="002B7DB2"/>
    <w:rsid w:val="002C3A3D"/>
    <w:rsid w:val="002C6265"/>
    <w:rsid w:val="002C6464"/>
    <w:rsid w:val="002C7BFD"/>
    <w:rsid w:val="002D5628"/>
    <w:rsid w:val="002D5B0B"/>
    <w:rsid w:val="002E14DE"/>
    <w:rsid w:val="002E313C"/>
    <w:rsid w:val="002F1468"/>
    <w:rsid w:val="002F24EF"/>
    <w:rsid w:val="002F3253"/>
    <w:rsid w:val="002F351B"/>
    <w:rsid w:val="002F710A"/>
    <w:rsid w:val="002F7351"/>
    <w:rsid w:val="003057F4"/>
    <w:rsid w:val="00306404"/>
    <w:rsid w:val="0031360C"/>
    <w:rsid w:val="00313901"/>
    <w:rsid w:val="00316248"/>
    <w:rsid w:val="003251D9"/>
    <w:rsid w:val="00325DEC"/>
    <w:rsid w:val="0032609D"/>
    <w:rsid w:val="003265B3"/>
    <w:rsid w:val="00331D26"/>
    <w:rsid w:val="00336DE0"/>
    <w:rsid w:val="003374EE"/>
    <w:rsid w:val="003379F3"/>
    <w:rsid w:val="00341189"/>
    <w:rsid w:val="00341B4C"/>
    <w:rsid w:val="00342944"/>
    <w:rsid w:val="003433F0"/>
    <w:rsid w:val="003444D4"/>
    <w:rsid w:val="003454C3"/>
    <w:rsid w:val="00345F9B"/>
    <w:rsid w:val="0034682A"/>
    <w:rsid w:val="00352B3F"/>
    <w:rsid w:val="003576B4"/>
    <w:rsid w:val="00362C05"/>
    <w:rsid w:val="0036541F"/>
    <w:rsid w:val="0036587D"/>
    <w:rsid w:val="00365F9B"/>
    <w:rsid w:val="00373B6A"/>
    <w:rsid w:val="00377B54"/>
    <w:rsid w:val="0038049E"/>
    <w:rsid w:val="003807B6"/>
    <w:rsid w:val="00381B04"/>
    <w:rsid w:val="0038241A"/>
    <w:rsid w:val="0038315D"/>
    <w:rsid w:val="00385464"/>
    <w:rsid w:val="0039161F"/>
    <w:rsid w:val="00391958"/>
    <w:rsid w:val="003925B3"/>
    <w:rsid w:val="00396C24"/>
    <w:rsid w:val="003A4ECC"/>
    <w:rsid w:val="003B48EA"/>
    <w:rsid w:val="003C0CD0"/>
    <w:rsid w:val="003C1219"/>
    <w:rsid w:val="003C1ACF"/>
    <w:rsid w:val="003C1CFB"/>
    <w:rsid w:val="003C4E37"/>
    <w:rsid w:val="003C6F4B"/>
    <w:rsid w:val="003D384C"/>
    <w:rsid w:val="003D70FC"/>
    <w:rsid w:val="003E150B"/>
    <w:rsid w:val="003F2C8B"/>
    <w:rsid w:val="004027F0"/>
    <w:rsid w:val="00405783"/>
    <w:rsid w:val="0040760E"/>
    <w:rsid w:val="00410B31"/>
    <w:rsid w:val="004118E7"/>
    <w:rsid w:val="004151BC"/>
    <w:rsid w:val="00421FBB"/>
    <w:rsid w:val="00423489"/>
    <w:rsid w:val="00423EC3"/>
    <w:rsid w:val="0042455F"/>
    <w:rsid w:val="004274D2"/>
    <w:rsid w:val="004342F3"/>
    <w:rsid w:val="0043614F"/>
    <w:rsid w:val="00436D7E"/>
    <w:rsid w:val="00442831"/>
    <w:rsid w:val="0045244C"/>
    <w:rsid w:val="0045452D"/>
    <w:rsid w:val="00455F4E"/>
    <w:rsid w:val="00464075"/>
    <w:rsid w:val="00465752"/>
    <w:rsid w:val="0047108B"/>
    <w:rsid w:val="00471D4A"/>
    <w:rsid w:val="00476338"/>
    <w:rsid w:val="00492C2B"/>
    <w:rsid w:val="00495C51"/>
    <w:rsid w:val="004A114E"/>
    <w:rsid w:val="004A27B1"/>
    <w:rsid w:val="004A38B8"/>
    <w:rsid w:val="004A5236"/>
    <w:rsid w:val="004A6DAD"/>
    <w:rsid w:val="004B2B6F"/>
    <w:rsid w:val="004B39D4"/>
    <w:rsid w:val="004C46D2"/>
    <w:rsid w:val="004C5756"/>
    <w:rsid w:val="004D1714"/>
    <w:rsid w:val="004D2AF2"/>
    <w:rsid w:val="004D5948"/>
    <w:rsid w:val="004D6751"/>
    <w:rsid w:val="004E126D"/>
    <w:rsid w:val="004E2EE2"/>
    <w:rsid w:val="004E3156"/>
    <w:rsid w:val="004E488B"/>
    <w:rsid w:val="004E6544"/>
    <w:rsid w:val="004E7ED2"/>
    <w:rsid w:val="004F0C01"/>
    <w:rsid w:val="004F0E21"/>
    <w:rsid w:val="004F3DCF"/>
    <w:rsid w:val="004F49D4"/>
    <w:rsid w:val="004F4B44"/>
    <w:rsid w:val="004F6420"/>
    <w:rsid w:val="00500AE2"/>
    <w:rsid w:val="005127FC"/>
    <w:rsid w:val="005171DD"/>
    <w:rsid w:val="00517626"/>
    <w:rsid w:val="00517DE0"/>
    <w:rsid w:val="00522FD8"/>
    <w:rsid w:val="00523FCC"/>
    <w:rsid w:val="00524917"/>
    <w:rsid w:val="00524E75"/>
    <w:rsid w:val="005321C1"/>
    <w:rsid w:val="00534A39"/>
    <w:rsid w:val="005421E7"/>
    <w:rsid w:val="00546B47"/>
    <w:rsid w:val="005564C3"/>
    <w:rsid w:val="00557EB7"/>
    <w:rsid w:val="00562475"/>
    <w:rsid w:val="00562FB5"/>
    <w:rsid w:val="005638A3"/>
    <w:rsid w:val="00566BCD"/>
    <w:rsid w:val="00572829"/>
    <w:rsid w:val="00572E00"/>
    <w:rsid w:val="005757FE"/>
    <w:rsid w:val="00576A7A"/>
    <w:rsid w:val="0057784D"/>
    <w:rsid w:val="00577C6D"/>
    <w:rsid w:val="00582260"/>
    <w:rsid w:val="00582B7F"/>
    <w:rsid w:val="00584343"/>
    <w:rsid w:val="005847BD"/>
    <w:rsid w:val="005A12EA"/>
    <w:rsid w:val="005A17B7"/>
    <w:rsid w:val="005A1C85"/>
    <w:rsid w:val="005A360B"/>
    <w:rsid w:val="005A6D8F"/>
    <w:rsid w:val="005A6EC6"/>
    <w:rsid w:val="005B3C12"/>
    <w:rsid w:val="005C37B0"/>
    <w:rsid w:val="005C53E2"/>
    <w:rsid w:val="005D4522"/>
    <w:rsid w:val="005D46C1"/>
    <w:rsid w:val="005D754C"/>
    <w:rsid w:val="005E6EB5"/>
    <w:rsid w:val="005E6EEA"/>
    <w:rsid w:val="005E6F83"/>
    <w:rsid w:val="005F0F91"/>
    <w:rsid w:val="005F1DE6"/>
    <w:rsid w:val="005F37EB"/>
    <w:rsid w:val="005F39FC"/>
    <w:rsid w:val="006115F0"/>
    <w:rsid w:val="006116D9"/>
    <w:rsid w:val="00627AA9"/>
    <w:rsid w:val="006307CA"/>
    <w:rsid w:val="006325FF"/>
    <w:rsid w:val="00632ABD"/>
    <w:rsid w:val="00633F21"/>
    <w:rsid w:val="00634115"/>
    <w:rsid w:val="00635488"/>
    <w:rsid w:val="00635A94"/>
    <w:rsid w:val="0063674F"/>
    <w:rsid w:val="00645CFB"/>
    <w:rsid w:val="006519FD"/>
    <w:rsid w:val="006566DB"/>
    <w:rsid w:val="0066065A"/>
    <w:rsid w:val="0066111D"/>
    <w:rsid w:val="006638D4"/>
    <w:rsid w:val="00663F39"/>
    <w:rsid w:val="00670F70"/>
    <w:rsid w:val="006711AC"/>
    <w:rsid w:val="0067122F"/>
    <w:rsid w:val="0067693F"/>
    <w:rsid w:val="00677C33"/>
    <w:rsid w:val="00677ECE"/>
    <w:rsid w:val="00683C2F"/>
    <w:rsid w:val="00690046"/>
    <w:rsid w:val="006902CD"/>
    <w:rsid w:val="006913B1"/>
    <w:rsid w:val="00693897"/>
    <w:rsid w:val="00694B08"/>
    <w:rsid w:val="00694BF1"/>
    <w:rsid w:val="00694F99"/>
    <w:rsid w:val="00697108"/>
    <w:rsid w:val="00697ABD"/>
    <w:rsid w:val="006A1DFA"/>
    <w:rsid w:val="006A1E8D"/>
    <w:rsid w:val="006A6ED9"/>
    <w:rsid w:val="006B0738"/>
    <w:rsid w:val="006B7BE6"/>
    <w:rsid w:val="006C50B5"/>
    <w:rsid w:val="006C67E4"/>
    <w:rsid w:val="006C6FAF"/>
    <w:rsid w:val="006E1119"/>
    <w:rsid w:val="006E12FE"/>
    <w:rsid w:val="006E1333"/>
    <w:rsid w:val="006E2BF0"/>
    <w:rsid w:val="006E7CA4"/>
    <w:rsid w:val="006F04AF"/>
    <w:rsid w:val="006F115D"/>
    <w:rsid w:val="006F38A6"/>
    <w:rsid w:val="006F4280"/>
    <w:rsid w:val="00700C52"/>
    <w:rsid w:val="00703C6E"/>
    <w:rsid w:val="00705809"/>
    <w:rsid w:val="0070683C"/>
    <w:rsid w:val="00710BC8"/>
    <w:rsid w:val="007116BF"/>
    <w:rsid w:val="007171D9"/>
    <w:rsid w:val="00717F54"/>
    <w:rsid w:val="00722F43"/>
    <w:rsid w:val="0072415A"/>
    <w:rsid w:val="007246A9"/>
    <w:rsid w:val="007278E1"/>
    <w:rsid w:val="00730172"/>
    <w:rsid w:val="00731137"/>
    <w:rsid w:val="00734407"/>
    <w:rsid w:val="00734EAD"/>
    <w:rsid w:val="00741968"/>
    <w:rsid w:val="00741BBB"/>
    <w:rsid w:val="0074320D"/>
    <w:rsid w:val="0074391C"/>
    <w:rsid w:val="00745AD5"/>
    <w:rsid w:val="00750C52"/>
    <w:rsid w:val="00756839"/>
    <w:rsid w:val="00756E4A"/>
    <w:rsid w:val="007572E5"/>
    <w:rsid w:val="00760BEA"/>
    <w:rsid w:val="00766CF7"/>
    <w:rsid w:val="007708D7"/>
    <w:rsid w:val="00771128"/>
    <w:rsid w:val="00771968"/>
    <w:rsid w:val="0077266F"/>
    <w:rsid w:val="0077367E"/>
    <w:rsid w:val="00773CF6"/>
    <w:rsid w:val="007748E3"/>
    <w:rsid w:val="00782939"/>
    <w:rsid w:val="007854A0"/>
    <w:rsid w:val="00790610"/>
    <w:rsid w:val="007922E4"/>
    <w:rsid w:val="00793763"/>
    <w:rsid w:val="007A3B51"/>
    <w:rsid w:val="007B0892"/>
    <w:rsid w:val="007B4B4C"/>
    <w:rsid w:val="007C1F83"/>
    <w:rsid w:val="007D3215"/>
    <w:rsid w:val="007D5F40"/>
    <w:rsid w:val="007D7D72"/>
    <w:rsid w:val="007E4774"/>
    <w:rsid w:val="007E4A6B"/>
    <w:rsid w:val="007E53EC"/>
    <w:rsid w:val="007E59EF"/>
    <w:rsid w:val="007F1DDA"/>
    <w:rsid w:val="007F4068"/>
    <w:rsid w:val="007F7FF6"/>
    <w:rsid w:val="00801442"/>
    <w:rsid w:val="008111E8"/>
    <w:rsid w:val="008203ED"/>
    <w:rsid w:val="00821362"/>
    <w:rsid w:val="00822AFF"/>
    <w:rsid w:val="00826D53"/>
    <w:rsid w:val="00832071"/>
    <w:rsid w:val="00832E42"/>
    <w:rsid w:val="0083497F"/>
    <w:rsid w:val="0083738B"/>
    <w:rsid w:val="00837806"/>
    <w:rsid w:val="0084126F"/>
    <w:rsid w:val="00841620"/>
    <w:rsid w:val="00844098"/>
    <w:rsid w:val="00847847"/>
    <w:rsid w:val="00850547"/>
    <w:rsid w:val="008532F2"/>
    <w:rsid w:val="008532F8"/>
    <w:rsid w:val="00853830"/>
    <w:rsid w:val="008557E5"/>
    <w:rsid w:val="00855816"/>
    <w:rsid w:val="0085686B"/>
    <w:rsid w:val="00856F88"/>
    <w:rsid w:val="008575C8"/>
    <w:rsid w:val="008600CA"/>
    <w:rsid w:val="00860563"/>
    <w:rsid w:val="0086682F"/>
    <w:rsid w:val="008672F0"/>
    <w:rsid w:val="00871FD8"/>
    <w:rsid w:val="0087400A"/>
    <w:rsid w:val="00875FB1"/>
    <w:rsid w:val="008814F2"/>
    <w:rsid w:val="008820B6"/>
    <w:rsid w:val="0088547F"/>
    <w:rsid w:val="00885A39"/>
    <w:rsid w:val="0089079B"/>
    <w:rsid w:val="00890EBA"/>
    <w:rsid w:val="0089470C"/>
    <w:rsid w:val="00896F5B"/>
    <w:rsid w:val="008A0938"/>
    <w:rsid w:val="008B4D44"/>
    <w:rsid w:val="008B52DE"/>
    <w:rsid w:val="008C0E2A"/>
    <w:rsid w:val="008C48DB"/>
    <w:rsid w:val="008C7519"/>
    <w:rsid w:val="008C7737"/>
    <w:rsid w:val="008D2B9C"/>
    <w:rsid w:val="008D6067"/>
    <w:rsid w:val="008D76B6"/>
    <w:rsid w:val="008E1C27"/>
    <w:rsid w:val="008E1D3F"/>
    <w:rsid w:val="008E1EAA"/>
    <w:rsid w:val="008E332C"/>
    <w:rsid w:val="008F0988"/>
    <w:rsid w:val="008F1CEA"/>
    <w:rsid w:val="008F350C"/>
    <w:rsid w:val="009054C4"/>
    <w:rsid w:val="00906C94"/>
    <w:rsid w:val="009072F6"/>
    <w:rsid w:val="0091262F"/>
    <w:rsid w:val="00913D5F"/>
    <w:rsid w:val="00920140"/>
    <w:rsid w:val="00922261"/>
    <w:rsid w:val="009242A6"/>
    <w:rsid w:val="00932318"/>
    <w:rsid w:val="00934F08"/>
    <w:rsid w:val="0093640E"/>
    <w:rsid w:val="00940F83"/>
    <w:rsid w:val="00941765"/>
    <w:rsid w:val="009445D5"/>
    <w:rsid w:val="009448AC"/>
    <w:rsid w:val="009454AC"/>
    <w:rsid w:val="00945822"/>
    <w:rsid w:val="00945AB9"/>
    <w:rsid w:val="00946995"/>
    <w:rsid w:val="009472BC"/>
    <w:rsid w:val="00947AC0"/>
    <w:rsid w:val="00953935"/>
    <w:rsid w:val="0095770D"/>
    <w:rsid w:val="00962503"/>
    <w:rsid w:val="0096428A"/>
    <w:rsid w:val="009646BE"/>
    <w:rsid w:val="00970A6A"/>
    <w:rsid w:val="00981A01"/>
    <w:rsid w:val="00986946"/>
    <w:rsid w:val="0098769D"/>
    <w:rsid w:val="0099250E"/>
    <w:rsid w:val="00992BDC"/>
    <w:rsid w:val="00995347"/>
    <w:rsid w:val="009A57A3"/>
    <w:rsid w:val="009A5848"/>
    <w:rsid w:val="009A60D4"/>
    <w:rsid w:val="009B0230"/>
    <w:rsid w:val="009B08D9"/>
    <w:rsid w:val="009B1859"/>
    <w:rsid w:val="009B287F"/>
    <w:rsid w:val="009B2D82"/>
    <w:rsid w:val="009B33BA"/>
    <w:rsid w:val="009B43A3"/>
    <w:rsid w:val="009C1ACD"/>
    <w:rsid w:val="009C52B3"/>
    <w:rsid w:val="009C5F62"/>
    <w:rsid w:val="009D03BD"/>
    <w:rsid w:val="009D0818"/>
    <w:rsid w:val="009D6B4C"/>
    <w:rsid w:val="009E027A"/>
    <w:rsid w:val="009E31FD"/>
    <w:rsid w:val="009E510B"/>
    <w:rsid w:val="009E642B"/>
    <w:rsid w:val="009E67C7"/>
    <w:rsid w:val="009F1B7E"/>
    <w:rsid w:val="009F213C"/>
    <w:rsid w:val="009F45CA"/>
    <w:rsid w:val="00A0157F"/>
    <w:rsid w:val="00A02560"/>
    <w:rsid w:val="00A04EBF"/>
    <w:rsid w:val="00A051A3"/>
    <w:rsid w:val="00A05B65"/>
    <w:rsid w:val="00A06B4C"/>
    <w:rsid w:val="00A072D5"/>
    <w:rsid w:val="00A13C10"/>
    <w:rsid w:val="00A2585A"/>
    <w:rsid w:val="00A278FF"/>
    <w:rsid w:val="00A32C17"/>
    <w:rsid w:val="00A32C77"/>
    <w:rsid w:val="00A33C42"/>
    <w:rsid w:val="00A344FA"/>
    <w:rsid w:val="00A3487A"/>
    <w:rsid w:val="00A37316"/>
    <w:rsid w:val="00A373BA"/>
    <w:rsid w:val="00A437F7"/>
    <w:rsid w:val="00A46BEE"/>
    <w:rsid w:val="00A479A7"/>
    <w:rsid w:val="00A53721"/>
    <w:rsid w:val="00A541DC"/>
    <w:rsid w:val="00A549CF"/>
    <w:rsid w:val="00A57DA3"/>
    <w:rsid w:val="00A60DA2"/>
    <w:rsid w:val="00A61A5A"/>
    <w:rsid w:val="00A64E7B"/>
    <w:rsid w:val="00A6547C"/>
    <w:rsid w:val="00A73E9A"/>
    <w:rsid w:val="00A77646"/>
    <w:rsid w:val="00A817AE"/>
    <w:rsid w:val="00A81FDC"/>
    <w:rsid w:val="00A824FE"/>
    <w:rsid w:val="00A84A6F"/>
    <w:rsid w:val="00A92A3E"/>
    <w:rsid w:val="00A943FA"/>
    <w:rsid w:val="00A95F46"/>
    <w:rsid w:val="00AA7464"/>
    <w:rsid w:val="00AB0BA7"/>
    <w:rsid w:val="00AB1EDD"/>
    <w:rsid w:val="00AB5237"/>
    <w:rsid w:val="00AC02CE"/>
    <w:rsid w:val="00AC2C89"/>
    <w:rsid w:val="00AC4BA6"/>
    <w:rsid w:val="00AC74FA"/>
    <w:rsid w:val="00AD1864"/>
    <w:rsid w:val="00AD276C"/>
    <w:rsid w:val="00AD2D51"/>
    <w:rsid w:val="00AD4384"/>
    <w:rsid w:val="00AD5B16"/>
    <w:rsid w:val="00AD625F"/>
    <w:rsid w:val="00AE1DA2"/>
    <w:rsid w:val="00AE4693"/>
    <w:rsid w:val="00AE56DC"/>
    <w:rsid w:val="00AE5798"/>
    <w:rsid w:val="00AF15EE"/>
    <w:rsid w:val="00AF3A8E"/>
    <w:rsid w:val="00AF708B"/>
    <w:rsid w:val="00B00216"/>
    <w:rsid w:val="00B03372"/>
    <w:rsid w:val="00B104C8"/>
    <w:rsid w:val="00B10C36"/>
    <w:rsid w:val="00B1130F"/>
    <w:rsid w:val="00B14429"/>
    <w:rsid w:val="00B20AB2"/>
    <w:rsid w:val="00B21602"/>
    <w:rsid w:val="00B23ED9"/>
    <w:rsid w:val="00B26340"/>
    <w:rsid w:val="00B278B8"/>
    <w:rsid w:val="00B328FC"/>
    <w:rsid w:val="00B3372A"/>
    <w:rsid w:val="00B350F9"/>
    <w:rsid w:val="00B40F3D"/>
    <w:rsid w:val="00B4229D"/>
    <w:rsid w:val="00B42EB7"/>
    <w:rsid w:val="00B459F6"/>
    <w:rsid w:val="00B5086D"/>
    <w:rsid w:val="00B5160E"/>
    <w:rsid w:val="00B53180"/>
    <w:rsid w:val="00B53414"/>
    <w:rsid w:val="00B62258"/>
    <w:rsid w:val="00B65FF2"/>
    <w:rsid w:val="00B74D1F"/>
    <w:rsid w:val="00B76A2F"/>
    <w:rsid w:val="00B80ECD"/>
    <w:rsid w:val="00B8337B"/>
    <w:rsid w:val="00B85C18"/>
    <w:rsid w:val="00B87A8E"/>
    <w:rsid w:val="00B90897"/>
    <w:rsid w:val="00B94966"/>
    <w:rsid w:val="00B956F3"/>
    <w:rsid w:val="00BA14B1"/>
    <w:rsid w:val="00BA3C82"/>
    <w:rsid w:val="00BA4A62"/>
    <w:rsid w:val="00BB1F83"/>
    <w:rsid w:val="00BB2664"/>
    <w:rsid w:val="00BB3E5A"/>
    <w:rsid w:val="00BB44B9"/>
    <w:rsid w:val="00BB4695"/>
    <w:rsid w:val="00BC3383"/>
    <w:rsid w:val="00BC4571"/>
    <w:rsid w:val="00BC5724"/>
    <w:rsid w:val="00BC646B"/>
    <w:rsid w:val="00BC67A2"/>
    <w:rsid w:val="00BC69C5"/>
    <w:rsid w:val="00BC7ABB"/>
    <w:rsid w:val="00BD2D6E"/>
    <w:rsid w:val="00BD326B"/>
    <w:rsid w:val="00BD3830"/>
    <w:rsid w:val="00BD439D"/>
    <w:rsid w:val="00BD75C7"/>
    <w:rsid w:val="00BE63D6"/>
    <w:rsid w:val="00BE6AF2"/>
    <w:rsid w:val="00BF3289"/>
    <w:rsid w:val="00BF43F0"/>
    <w:rsid w:val="00BF5E5B"/>
    <w:rsid w:val="00BF7368"/>
    <w:rsid w:val="00BF7E70"/>
    <w:rsid w:val="00BF7F63"/>
    <w:rsid w:val="00C00C7C"/>
    <w:rsid w:val="00C11277"/>
    <w:rsid w:val="00C15D2D"/>
    <w:rsid w:val="00C179A1"/>
    <w:rsid w:val="00C24AE2"/>
    <w:rsid w:val="00C35DAB"/>
    <w:rsid w:val="00C36EE0"/>
    <w:rsid w:val="00C40F4E"/>
    <w:rsid w:val="00C46BCD"/>
    <w:rsid w:val="00C4720D"/>
    <w:rsid w:val="00C62C4A"/>
    <w:rsid w:val="00C63200"/>
    <w:rsid w:val="00C634C7"/>
    <w:rsid w:val="00C64D93"/>
    <w:rsid w:val="00C651E9"/>
    <w:rsid w:val="00C661C8"/>
    <w:rsid w:val="00C70B6E"/>
    <w:rsid w:val="00C7483F"/>
    <w:rsid w:val="00C80391"/>
    <w:rsid w:val="00C80701"/>
    <w:rsid w:val="00C82802"/>
    <w:rsid w:val="00C82E81"/>
    <w:rsid w:val="00C83170"/>
    <w:rsid w:val="00C83EC6"/>
    <w:rsid w:val="00C8521E"/>
    <w:rsid w:val="00C85FB7"/>
    <w:rsid w:val="00C91D36"/>
    <w:rsid w:val="00C9218C"/>
    <w:rsid w:val="00C94857"/>
    <w:rsid w:val="00C95326"/>
    <w:rsid w:val="00C962A4"/>
    <w:rsid w:val="00CA320C"/>
    <w:rsid w:val="00CA3785"/>
    <w:rsid w:val="00CA3E30"/>
    <w:rsid w:val="00CA7D91"/>
    <w:rsid w:val="00CB0E50"/>
    <w:rsid w:val="00CB148C"/>
    <w:rsid w:val="00CB1F6B"/>
    <w:rsid w:val="00CB2281"/>
    <w:rsid w:val="00CB29AC"/>
    <w:rsid w:val="00CB4115"/>
    <w:rsid w:val="00CC1B28"/>
    <w:rsid w:val="00CC7F04"/>
    <w:rsid w:val="00CD3B3F"/>
    <w:rsid w:val="00CD526F"/>
    <w:rsid w:val="00CD6A76"/>
    <w:rsid w:val="00CE10F4"/>
    <w:rsid w:val="00CE1404"/>
    <w:rsid w:val="00CE2C4F"/>
    <w:rsid w:val="00CE5949"/>
    <w:rsid w:val="00CE5DF4"/>
    <w:rsid w:val="00CE617F"/>
    <w:rsid w:val="00CE7530"/>
    <w:rsid w:val="00CF17DE"/>
    <w:rsid w:val="00CF317A"/>
    <w:rsid w:val="00CF6083"/>
    <w:rsid w:val="00D00242"/>
    <w:rsid w:val="00D13A09"/>
    <w:rsid w:val="00D1663C"/>
    <w:rsid w:val="00D17555"/>
    <w:rsid w:val="00D2020D"/>
    <w:rsid w:val="00D2026B"/>
    <w:rsid w:val="00D20D05"/>
    <w:rsid w:val="00D22D1E"/>
    <w:rsid w:val="00D23793"/>
    <w:rsid w:val="00D2598D"/>
    <w:rsid w:val="00D27276"/>
    <w:rsid w:val="00D32EFC"/>
    <w:rsid w:val="00D347DF"/>
    <w:rsid w:val="00D43819"/>
    <w:rsid w:val="00D43A04"/>
    <w:rsid w:val="00D440AE"/>
    <w:rsid w:val="00D448B8"/>
    <w:rsid w:val="00D45B0F"/>
    <w:rsid w:val="00D45EDA"/>
    <w:rsid w:val="00D46A3E"/>
    <w:rsid w:val="00D5259F"/>
    <w:rsid w:val="00D52968"/>
    <w:rsid w:val="00D554A3"/>
    <w:rsid w:val="00D562AE"/>
    <w:rsid w:val="00D56E3F"/>
    <w:rsid w:val="00D61C7B"/>
    <w:rsid w:val="00D64955"/>
    <w:rsid w:val="00D73C04"/>
    <w:rsid w:val="00D8077E"/>
    <w:rsid w:val="00D81A06"/>
    <w:rsid w:val="00D83083"/>
    <w:rsid w:val="00D83097"/>
    <w:rsid w:val="00D8310D"/>
    <w:rsid w:val="00D83E9D"/>
    <w:rsid w:val="00D91246"/>
    <w:rsid w:val="00D9213F"/>
    <w:rsid w:val="00D93845"/>
    <w:rsid w:val="00D965D4"/>
    <w:rsid w:val="00D979A0"/>
    <w:rsid w:val="00DA020A"/>
    <w:rsid w:val="00DA17A3"/>
    <w:rsid w:val="00DA17E7"/>
    <w:rsid w:val="00DA47F2"/>
    <w:rsid w:val="00DA536E"/>
    <w:rsid w:val="00DA76CE"/>
    <w:rsid w:val="00DB132C"/>
    <w:rsid w:val="00DB18A6"/>
    <w:rsid w:val="00DB4D75"/>
    <w:rsid w:val="00DB58C8"/>
    <w:rsid w:val="00DB5E3B"/>
    <w:rsid w:val="00DB7944"/>
    <w:rsid w:val="00DC0D5D"/>
    <w:rsid w:val="00DC1F02"/>
    <w:rsid w:val="00DC2258"/>
    <w:rsid w:val="00DC5BF7"/>
    <w:rsid w:val="00DD3EDC"/>
    <w:rsid w:val="00DD570F"/>
    <w:rsid w:val="00DD6355"/>
    <w:rsid w:val="00DE10E6"/>
    <w:rsid w:val="00DE1F95"/>
    <w:rsid w:val="00DE33B6"/>
    <w:rsid w:val="00DE5C06"/>
    <w:rsid w:val="00DE613C"/>
    <w:rsid w:val="00DE70D3"/>
    <w:rsid w:val="00DF502B"/>
    <w:rsid w:val="00E12F80"/>
    <w:rsid w:val="00E15977"/>
    <w:rsid w:val="00E15CF1"/>
    <w:rsid w:val="00E24C80"/>
    <w:rsid w:val="00E2752D"/>
    <w:rsid w:val="00E32418"/>
    <w:rsid w:val="00E33BB7"/>
    <w:rsid w:val="00E35B8A"/>
    <w:rsid w:val="00E35CE1"/>
    <w:rsid w:val="00E362B9"/>
    <w:rsid w:val="00E463FF"/>
    <w:rsid w:val="00E55B25"/>
    <w:rsid w:val="00E568DC"/>
    <w:rsid w:val="00E5744E"/>
    <w:rsid w:val="00E57A98"/>
    <w:rsid w:val="00E613FA"/>
    <w:rsid w:val="00E6513E"/>
    <w:rsid w:val="00E676FC"/>
    <w:rsid w:val="00E72428"/>
    <w:rsid w:val="00E72B0F"/>
    <w:rsid w:val="00E73155"/>
    <w:rsid w:val="00E76DFA"/>
    <w:rsid w:val="00E86F53"/>
    <w:rsid w:val="00E941AA"/>
    <w:rsid w:val="00E94B39"/>
    <w:rsid w:val="00E95F24"/>
    <w:rsid w:val="00E9695C"/>
    <w:rsid w:val="00E973DA"/>
    <w:rsid w:val="00EA078F"/>
    <w:rsid w:val="00EA3A2A"/>
    <w:rsid w:val="00EA6A88"/>
    <w:rsid w:val="00EB34E3"/>
    <w:rsid w:val="00EB500F"/>
    <w:rsid w:val="00EB53E2"/>
    <w:rsid w:val="00EB69CD"/>
    <w:rsid w:val="00ED755D"/>
    <w:rsid w:val="00EE4513"/>
    <w:rsid w:val="00EF4360"/>
    <w:rsid w:val="00EF63BF"/>
    <w:rsid w:val="00EF6DD3"/>
    <w:rsid w:val="00F00AE0"/>
    <w:rsid w:val="00F06133"/>
    <w:rsid w:val="00F065EA"/>
    <w:rsid w:val="00F162CE"/>
    <w:rsid w:val="00F24F0B"/>
    <w:rsid w:val="00F31066"/>
    <w:rsid w:val="00F31F04"/>
    <w:rsid w:val="00F32905"/>
    <w:rsid w:val="00F336E9"/>
    <w:rsid w:val="00F345CA"/>
    <w:rsid w:val="00F41AC0"/>
    <w:rsid w:val="00F42990"/>
    <w:rsid w:val="00F44581"/>
    <w:rsid w:val="00F449A8"/>
    <w:rsid w:val="00F45B74"/>
    <w:rsid w:val="00F5523C"/>
    <w:rsid w:val="00F57C97"/>
    <w:rsid w:val="00F604D9"/>
    <w:rsid w:val="00F61ADE"/>
    <w:rsid w:val="00F632F3"/>
    <w:rsid w:val="00F75633"/>
    <w:rsid w:val="00F81E2C"/>
    <w:rsid w:val="00F90C6C"/>
    <w:rsid w:val="00F9120E"/>
    <w:rsid w:val="00F91A93"/>
    <w:rsid w:val="00F92FAF"/>
    <w:rsid w:val="00F9332E"/>
    <w:rsid w:val="00F933F9"/>
    <w:rsid w:val="00F934E2"/>
    <w:rsid w:val="00F94A1D"/>
    <w:rsid w:val="00F95073"/>
    <w:rsid w:val="00F953D7"/>
    <w:rsid w:val="00FB3E4B"/>
    <w:rsid w:val="00FB4801"/>
    <w:rsid w:val="00FB5537"/>
    <w:rsid w:val="00FB5A32"/>
    <w:rsid w:val="00FB6A3F"/>
    <w:rsid w:val="00FC1306"/>
    <w:rsid w:val="00FC64EA"/>
    <w:rsid w:val="00FD2603"/>
    <w:rsid w:val="00FD4688"/>
    <w:rsid w:val="00FD4A54"/>
    <w:rsid w:val="00FD5D67"/>
    <w:rsid w:val="00FE10E0"/>
    <w:rsid w:val="00FE3F17"/>
    <w:rsid w:val="00FF0E89"/>
    <w:rsid w:val="00FF44D9"/>
    <w:rsid w:val="00FF45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6A5C4"/>
  <w15:chartTrackingRefBased/>
  <w15:docId w15:val="{49699BDD-9172-479C-ABEE-1527ACEC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A9"/>
    <w:pPr>
      <w:spacing w:before="120" w:after="240" w:line="240" w:lineRule="auto"/>
      <w:jc w:val="both"/>
    </w:pPr>
    <w:rPr>
      <w:rFonts w:ascii="Gentona Light" w:hAnsi="Gentona Light"/>
      <w:color w:val="0D0E0E"/>
    </w:rPr>
  </w:style>
  <w:style w:type="paragraph" w:styleId="Ttulo1">
    <w:name w:val="heading 1"/>
    <w:basedOn w:val="Normal"/>
    <w:next w:val="Normal"/>
    <w:link w:val="Ttulo1Char"/>
    <w:uiPriority w:val="9"/>
    <w:qFormat/>
    <w:rsid w:val="003251D9"/>
    <w:pPr>
      <w:keepNext/>
      <w:keepLines/>
      <w:numPr>
        <w:numId w:val="1"/>
      </w:numPr>
      <w:spacing w:before="240" w:after="0"/>
      <w:outlineLvl w:val="0"/>
    </w:pPr>
    <w:rPr>
      <w:rFonts w:ascii="Gentona Book" w:eastAsiaTheme="majorEastAsia" w:hAnsi="Gentona Book" w:cstheme="majorBidi"/>
      <w:color w:val="E84817"/>
      <w:sz w:val="32"/>
      <w:szCs w:val="32"/>
    </w:rPr>
  </w:style>
  <w:style w:type="paragraph" w:styleId="Ttulo2">
    <w:name w:val="heading 2"/>
    <w:basedOn w:val="Ttulo1"/>
    <w:next w:val="Normal"/>
    <w:link w:val="Ttulo2Char"/>
    <w:uiPriority w:val="9"/>
    <w:unhideWhenUsed/>
    <w:qFormat/>
    <w:rsid w:val="004E488B"/>
    <w:pPr>
      <w:numPr>
        <w:ilvl w:val="1"/>
      </w:numPr>
      <w:spacing w:after="120"/>
      <w:outlineLvl w:val="1"/>
    </w:pPr>
    <w:rPr>
      <w:bCs/>
      <w:sz w:val="28"/>
      <w:szCs w:val="28"/>
    </w:rPr>
  </w:style>
  <w:style w:type="paragraph" w:styleId="Ttulo3">
    <w:name w:val="heading 3"/>
    <w:basedOn w:val="Ttulo2"/>
    <w:next w:val="Normal"/>
    <w:link w:val="Ttulo3Char"/>
    <w:uiPriority w:val="9"/>
    <w:unhideWhenUsed/>
    <w:qFormat/>
    <w:rsid w:val="004F0C01"/>
    <w:pPr>
      <w:numPr>
        <w:ilvl w:val="2"/>
      </w:numPr>
      <w:outlineLvl w:val="2"/>
    </w:pPr>
    <w:rPr>
      <w:rFonts w:ascii="Gentona Light" w:hAnsi="Gentona Light"/>
      <w:iCs/>
      <w:sz w:val="24"/>
      <w:szCs w:val="24"/>
    </w:rPr>
  </w:style>
  <w:style w:type="paragraph" w:styleId="Ttulo4">
    <w:name w:val="heading 4"/>
    <w:basedOn w:val="Normal"/>
    <w:next w:val="Normal"/>
    <w:link w:val="Ttulo4Char"/>
    <w:uiPriority w:val="9"/>
    <w:unhideWhenUsed/>
    <w:qFormat/>
    <w:rsid w:val="00500AE2"/>
    <w:pPr>
      <w:keepNext/>
      <w:keepLines/>
      <w:spacing w:before="40" w:after="0" w:line="259" w:lineRule="auto"/>
      <w:ind w:left="2280" w:hanging="864"/>
      <w:outlineLvl w:val="3"/>
    </w:pPr>
    <w:rPr>
      <w:rFonts w:eastAsiaTheme="majorEastAsia" w:cstheme="majorBidi"/>
      <w:i/>
      <w:iCs/>
      <w:color w:val="E84817"/>
    </w:rPr>
  </w:style>
  <w:style w:type="paragraph" w:styleId="Ttulo5">
    <w:name w:val="heading 5"/>
    <w:basedOn w:val="Normal"/>
    <w:next w:val="Normal"/>
    <w:link w:val="Ttulo5Char"/>
    <w:uiPriority w:val="9"/>
    <w:semiHidden/>
    <w:unhideWhenUsed/>
    <w:qFormat/>
    <w:rsid w:val="00500AE2"/>
    <w:pPr>
      <w:keepNext/>
      <w:keepLines/>
      <w:spacing w:before="40" w:after="0" w:line="259" w:lineRule="auto"/>
      <w:ind w:left="1008" w:hanging="1008"/>
      <w:outlineLvl w:val="4"/>
    </w:pPr>
    <w:rPr>
      <w:rFonts w:eastAsiaTheme="majorEastAsia" w:cstheme="majorBidi"/>
      <w:color w:val="2F5496" w:themeColor="accent1" w:themeShade="BF"/>
    </w:rPr>
  </w:style>
  <w:style w:type="paragraph" w:styleId="Ttulo6">
    <w:name w:val="heading 6"/>
    <w:basedOn w:val="Normal"/>
    <w:next w:val="Normal"/>
    <w:link w:val="Ttulo6Char"/>
    <w:uiPriority w:val="9"/>
    <w:semiHidden/>
    <w:unhideWhenUsed/>
    <w:qFormat/>
    <w:rsid w:val="00500AE2"/>
    <w:pPr>
      <w:keepNext/>
      <w:keepLines/>
      <w:spacing w:before="40" w:after="0" w:line="259" w:lineRule="auto"/>
      <w:ind w:left="1152" w:hanging="1152"/>
      <w:outlineLvl w:val="5"/>
    </w:pPr>
    <w:rPr>
      <w:rFonts w:eastAsiaTheme="majorEastAsia" w:cstheme="majorBidi"/>
      <w:color w:val="1F3763" w:themeColor="accent1" w:themeShade="7F"/>
    </w:rPr>
  </w:style>
  <w:style w:type="paragraph" w:styleId="Ttulo7">
    <w:name w:val="heading 7"/>
    <w:basedOn w:val="Normal"/>
    <w:next w:val="Normal"/>
    <w:link w:val="Ttulo7Char"/>
    <w:uiPriority w:val="9"/>
    <w:semiHidden/>
    <w:unhideWhenUsed/>
    <w:qFormat/>
    <w:rsid w:val="00500AE2"/>
    <w:pPr>
      <w:keepNext/>
      <w:keepLines/>
      <w:spacing w:before="40" w:after="0" w:line="259" w:lineRule="auto"/>
      <w:ind w:left="1296" w:hanging="1296"/>
      <w:outlineLvl w:val="6"/>
    </w:pPr>
    <w:rPr>
      <w:rFonts w:eastAsiaTheme="majorEastAsia" w:cstheme="majorBidi"/>
      <w:i/>
      <w:iCs/>
      <w:color w:val="1F3763" w:themeColor="accent1" w:themeShade="7F"/>
    </w:rPr>
  </w:style>
  <w:style w:type="paragraph" w:styleId="Ttulo8">
    <w:name w:val="heading 8"/>
    <w:basedOn w:val="Normal"/>
    <w:next w:val="Normal"/>
    <w:link w:val="Ttulo8Char"/>
    <w:uiPriority w:val="9"/>
    <w:semiHidden/>
    <w:unhideWhenUsed/>
    <w:qFormat/>
    <w:rsid w:val="00500AE2"/>
    <w:pPr>
      <w:keepNext/>
      <w:keepLines/>
      <w:spacing w:before="40" w:after="0" w:line="259" w:lineRule="auto"/>
      <w:ind w:left="1440" w:hanging="1440"/>
      <w:outlineLvl w:val="7"/>
    </w:pPr>
    <w:rPr>
      <w:rFonts w:eastAsiaTheme="majorEastAsia"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0AE2"/>
    <w:pPr>
      <w:keepNext/>
      <w:keepLines/>
      <w:spacing w:before="40" w:after="0" w:line="259" w:lineRule="auto"/>
      <w:ind w:left="1584" w:hanging="1584"/>
      <w:outlineLvl w:val="8"/>
    </w:pPr>
    <w:rPr>
      <w:rFonts w:eastAsiaTheme="majorEastAsia"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rsid w:val="006638D4"/>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6638D4"/>
    <w:rPr>
      <w:rFonts w:eastAsiaTheme="minorEastAsia"/>
      <w:lang w:eastAsia="pt-BR"/>
    </w:rPr>
  </w:style>
  <w:style w:type="paragraph" w:styleId="Cabealho">
    <w:name w:val="header"/>
    <w:basedOn w:val="Normal"/>
    <w:link w:val="CabealhoChar"/>
    <w:uiPriority w:val="99"/>
    <w:unhideWhenUsed/>
    <w:rsid w:val="006638D4"/>
    <w:pPr>
      <w:tabs>
        <w:tab w:val="center" w:pos="4252"/>
        <w:tab w:val="right" w:pos="8504"/>
      </w:tabs>
      <w:spacing w:after="0"/>
    </w:pPr>
  </w:style>
  <w:style w:type="character" w:customStyle="1" w:styleId="CabealhoChar">
    <w:name w:val="Cabeçalho Char"/>
    <w:basedOn w:val="Fontepargpadro"/>
    <w:link w:val="Cabealho"/>
    <w:uiPriority w:val="99"/>
    <w:rsid w:val="006638D4"/>
  </w:style>
  <w:style w:type="paragraph" w:styleId="Rodap">
    <w:name w:val="footer"/>
    <w:basedOn w:val="Normal"/>
    <w:link w:val="RodapChar"/>
    <w:uiPriority w:val="99"/>
    <w:unhideWhenUsed/>
    <w:rsid w:val="006638D4"/>
    <w:pPr>
      <w:tabs>
        <w:tab w:val="center" w:pos="4252"/>
        <w:tab w:val="right" w:pos="8504"/>
      </w:tabs>
      <w:spacing w:after="0"/>
    </w:pPr>
  </w:style>
  <w:style w:type="character" w:customStyle="1" w:styleId="RodapChar">
    <w:name w:val="Rodapé Char"/>
    <w:basedOn w:val="Fontepargpadro"/>
    <w:link w:val="Rodap"/>
    <w:uiPriority w:val="99"/>
    <w:rsid w:val="006638D4"/>
  </w:style>
  <w:style w:type="character" w:customStyle="1" w:styleId="Ttulo1Char">
    <w:name w:val="Título 1 Char"/>
    <w:basedOn w:val="Fontepargpadro"/>
    <w:link w:val="Ttulo1"/>
    <w:uiPriority w:val="9"/>
    <w:rsid w:val="003251D9"/>
    <w:rPr>
      <w:rFonts w:ascii="Gentona Book" w:eastAsiaTheme="majorEastAsia" w:hAnsi="Gentona Book" w:cstheme="majorBidi"/>
      <w:color w:val="E84817"/>
      <w:sz w:val="32"/>
      <w:szCs w:val="32"/>
    </w:rPr>
  </w:style>
  <w:style w:type="character" w:customStyle="1" w:styleId="Ttulo2Char">
    <w:name w:val="Título 2 Char"/>
    <w:basedOn w:val="Fontepargpadro"/>
    <w:link w:val="Ttulo2"/>
    <w:uiPriority w:val="9"/>
    <w:rsid w:val="004E488B"/>
    <w:rPr>
      <w:rFonts w:ascii="Gentona Book" w:eastAsiaTheme="majorEastAsia" w:hAnsi="Gentona Book" w:cstheme="majorBidi"/>
      <w:bCs/>
      <w:color w:val="E84817"/>
      <w:sz w:val="28"/>
      <w:szCs w:val="28"/>
    </w:rPr>
  </w:style>
  <w:style w:type="table" w:styleId="Tabelacomgrade">
    <w:name w:val="Table Grid"/>
    <w:basedOn w:val="Tabelanormal"/>
    <w:uiPriority w:val="39"/>
    <w:rsid w:val="005F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4F0C01"/>
    <w:rPr>
      <w:rFonts w:ascii="Gentona Light" w:eastAsiaTheme="majorEastAsia" w:hAnsi="Gentona Light" w:cstheme="majorBidi"/>
      <w:bCs/>
      <w:iCs/>
      <w:color w:val="E84817"/>
      <w:sz w:val="24"/>
      <w:szCs w:val="24"/>
    </w:rPr>
  </w:style>
  <w:style w:type="character" w:customStyle="1" w:styleId="Ttulo4Char">
    <w:name w:val="Título 4 Char"/>
    <w:basedOn w:val="Fontepargpadro"/>
    <w:link w:val="Ttulo4"/>
    <w:uiPriority w:val="9"/>
    <w:rsid w:val="00500AE2"/>
    <w:rPr>
      <w:rFonts w:ascii="Gentona Light" w:eastAsiaTheme="majorEastAsia" w:hAnsi="Gentona Light" w:cstheme="majorBidi"/>
      <w:i/>
      <w:iCs/>
      <w:color w:val="E84817"/>
    </w:rPr>
  </w:style>
  <w:style w:type="character" w:customStyle="1" w:styleId="Ttulo5Char">
    <w:name w:val="Título 5 Char"/>
    <w:basedOn w:val="Fontepargpadro"/>
    <w:link w:val="Ttulo5"/>
    <w:uiPriority w:val="9"/>
    <w:semiHidden/>
    <w:rsid w:val="00500AE2"/>
    <w:rPr>
      <w:rFonts w:ascii="Gentona Light" w:eastAsiaTheme="majorEastAsia" w:hAnsi="Gentona Light" w:cstheme="majorBidi"/>
      <w:color w:val="2F5496" w:themeColor="accent1" w:themeShade="BF"/>
    </w:rPr>
  </w:style>
  <w:style w:type="character" w:customStyle="1" w:styleId="Ttulo6Char">
    <w:name w:val="Título 6 Char"/>
    <w:basedOn w:val="Fontepargpadro"/>
    <w:link w:val="Ttulo6"/>
    <w:uiPriority w:val="9"/>
    <w:semiHidden/>
    <w:rsid w:val="00500AE2"/>
    <w:rPr>
      <w:rFonts w:ascii="Gentona Light" w:eastAsiaTheme="majorEastAsia" w:hAnsi="Gentona Light" w:cstheme="majorBidi"/>
      <w:color w:val="1F3763" w:themeColor="accent1" w:themeShade="7F"/>
    </w:rPr>
  </w:style>
  <w:style w:type="character" w:customStyle="1" w:styleId="Ttulo7Char">
    <w:name w:val="Título 7 Char"/>
    <w:basedOn w:val="Fontepargpadro"/>
    <w:link w:val="Ttulo7"/>
    <w:uiPriority w:val="9"/>
    <w:semiHidden/>
    <w:rsid w:val="00500AE2"/>
    <w:rPr>
      <w:rFonts w:ascii="Gentona Light" w:eastAsiaTheme="majorEastAsia" w:hAnsi="Gentona Light" w:cstheme="majorBidi"/>
      <w:i/>
      <w:iCs/>
      <w:color w:val="1F3763" w:themeColor="accent1" w:themeShade="7F"/>
    </w:rPr>
  </w:style>
  <w:style w:type="character" w:customStyle="1" w:styleId="Ttulo8Char">
    <w:name w:val="Título 8 Char"/>
    <w:basedOn w:val="Fontepargpadro"/>
    <w:link w:val="Ttulo8"/>
    <w:uiPriority w:val="9"/>
    <w:semiHidden/>
    <w:rsid w:val="00500AE2"/>
    <w:rPr>
      <w:rFonts w:ascii="Gentona Light" w:eastAsiaTheme="majorEastAsia" w:hAnsi="Gentona Light" w:cstheme="majorBidi"/>
      <w:color w:val="272727" w:themeColor="text1" w:themeTint="D8"/>
      <w:sz w:val="21"/>
      <w:szCs w:val="21"/>
    </w:rPr>
  </w:style>
  <w:style w:type="character" w:customStyle="1" w:styleId="Ttulo9Char">
    <w:name w:val="Título 9 Char"/>
    <w:basedOn w:val="Fontepargpadro"/>
    <w:link w:val="Ttulo9"/>
    <w:uiPriority w:val="9"/>
    <w:semiHidden/>
    <w:rsid w:val="00500AE2"/>
    <w:rPr>
      <w:rFonts w:ascii="Gentona Light" w:eastAsiaTheme="majorEastAsia" w:hAnsi="Gentona Light" w:cstheme="majorBidi"/>
      <w:i/>
      <w:iCs/>
      <w:color w:val="272727" w:themeColor="text1" w:themeTint="D8"/>
      <w:sz w:val="21"/>
      <w:szCs w:val="21"/>
    </w:rPr>
  </w:style>
  <w:style w:type="paragraph" w:styleId="NormalWeb">
    <w:name w:val="Normal (Web)"/>
    <w:basedOn w:val="Normal"/>
    <w:uiPriority w:val="99"/>
    <w:semiHidden/>
    <w:unhideWhenUsed/>
    <w:rsid w:val="00500AE2"/>
    <w:pPr>
      <w:spacing w:before="100" w:beforeAutospacing="1" w:after="100" w:afterAutospacing="1"/>
    </w:pPr>
    <w:rPr>
      <w:rFonts w:ascii="Times New Roman" w:eastAsiaTheme="minorEastAsia" w:hAnsi="Times New Roman" w:cs="Times New Roman"/>
      <w:szCs w:val="24"/>
      <w:lang w:eastAsia="pt-BR"/>
    </w:rPr>
  </w:style>
  <w:style w:type="paragraph" w:styleId="Textodebalo">
    <w:name w:val="Balloon Text"/>
    <w:basedOn w:val="Normal"/>
    <w:link w:val="TextodebaloChar"/>
    <w:uiPriority w:val="99"/>
    <w:semiHidden/>
    <w:unhideWhenUsed/>
    <w:rsid w:val="00500AE2"/>
    <w:pPr>
      <w:spacing w:before="0" w:after="0"/>
    </w:pPr>
    <w:rPr>
      <w:rFonts w:ascii="Segoe UI" w:hAnsi="Segoe UI" w:cs="Segoe UI"/>
      <w:szCs w:val="18"/>
    </w:rPr>
  </w:style>
  <w:style w:type="character" w:customStyle="1" w:styleId="TextodebaloChar">
    <w:name w:val="Texto de balão Char"/>
    <w:basedOn w:val="Fontepargpadro"/>
    <w:link w:val="Textodebalo"/>
    <w:uiPriority w:val="99"/>
    <w:semiHidden/>
    <w:rsid w:val="00500AE2"/>
    <w:rPr>
      <w:rFonts w:ascii="Segoe UI" w:hAnsi="Segoe UI" w:cs="Segoe UI"/>
      <w:color w:val="0D0E0E"/>
      <w:szCs w:val="18"/>
    </w:rPr>
  </w:style>
  <w:style w:type="paragraph" w:styleId="Sumrio1">
    <w:name w:val="toc 1"/>
    <w:basedOn w:val="Normal"/>
    <w:next w:val="Normal"/>
    <w:autoRedefine/>
    <w:uiPriority w:val="39"/>
    <w:unhideWhenUsed/>
    <w:rsid w:val="00500AE2"/>
    <w:pPr>
      <w:spacing w:before="0" w:after="100" w:line="259" w:lineRule="auto"/>
    </w:pPr>
  </w:style>
  <w:style w:type="character" w:styleId="Hyperlink">
    <w:name w:val="Hyperlink"/>
    <w:basedOn w:val="Fontepargpadro"/>
    <w:uiPriority w:val="99"/>
    <w:unhideWhenUsed/>
    <w:rsid w:val="00500AE2"/>
    <w:rPr>
      <w:color w:val="0563C1" w:themeColor="hyperlink"/>
      <w:u w:val="single"/>
    </w:rPr>
  </w:style>
  <w:style w:type="paragraph" w:styleId="CabealhodoSumrio">
    <w:name w:val="TOC Heading"/>
    <w:basedOn w:val="Ttulo1"/>
    <w:next w:val="Normal"/>
    <w:uiPriority w:val="39"/>
    <w:unhideWhenUsed/>
    <w:qFormat/>
    <w:rsid w:val="00500AE2"/>
    <w:pPr>
      <w:spacing w:beforeLines="150" w:before="150" w:after="120"/>
      <w:ind w:left="432" w:hanging="432"/>
      <w:outlineLvl w:val="9"/>
    </w:pPr>
    <w:rPr>
      <w:color w:val="2F5496" w:themeColor="accent1" w:themeShade="BF"/>
      <w:szCs w:val="20"/>
      <w:lang w:eastAsia="pt-BR"/>
    </w:rPr>
  </w:style>
  <w:style w:type="paragraph" w:styleId="Sumrio2">
    <w:name w:val="toc 2"/>
    <w:basedOn w:val="Normal"/>
    <w:next w:val="Normal"/>
    <w:autoRedefine/>
    <w:uiPriority w:val="39"/>
    <w:unhideWhenUsed/>
    <w:rsid w:val="00500AE2"/>
    <w:pPr>
      <w:spacing w:before="0" w:after="100" w:line="259" w:lineRule="auto"/>
      <w:ind w:left="220"/>
    </w:pPr>
  </w:style>
  <w:style w:type="paragraph" w:customStyle="1" w:styleId="Default">
    <w:name w:val="Default"/>
    <w:rsid w:val="00500AE2"/>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500AE2"/>
    <w:pPr>
      <w:spacing w:before="0" w:after="160" w:line="259" w:lineRule="auto"/>
      <w:ind w:left="720"/>
      <w:contextualSpacing/>
    </w:pPr>
  </w:style>
  <w:style w:type="table" w:customStyle="1" w:styleId="TabeladeLista1Clara1">
    <w:name w:val="Tabela de Lista 1 Clara1"/>
    <w:basedOn w:val="Tabelanormal"/>
    <w:uiPriority w:val="46"/>
    <w:rsid w:val="00500AE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elanormal"/>
    <w:uiPriority w:val="47"/>
    <w:rsid w:val="00500AE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500A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2-nfase31">
    <w:name w:val="Tabela de Grade 2 - Ênfase 31"/>
    <w:basedOn w:val="Tabelanormal"/>
    <w:uiPriority w:val="47"/>
    <w:rsid w:val="00500AE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5Escura-nfase31">
    <w:name w:val="Tabela de Grade 5 Escura - Ênfase 31"/>
    <w:basedOn w:val="Tabelanormal"/>
    <w:uiPriority w:val="50"/>
    <w:rsid w:val="00500A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Fontepargpadro"/>
    <w:rsid w:val="00500AE2"/>
  </w:style>
  <w:style w:type="paragraph" w:styleId="Reviso">
    <w:name w:val="Revision"/>
    <w:hidden/>
    <w:uiPriority w:val="99"/>
    <w:semiHidden/>
    <w:rsid w:val="00500AE2"/>
    <w:pPr>
      <w:spacing w:after="0" w:line="240" w:lineRule="auto"/>
    </w:pPr>
  </w:style>
  <w:style w:type="character" w:styleId="TextodoEspaoReservado">
    <w:name w:val="Placeholder Text"/>
    <w:basedOn w:val="Fontepargpadro"/>
    <w:uiPriority w:val="99"/>
    <w:semiHidden/>
    <w:rsid w:val="00500AE2"/>
    <w:rPr>
      <w:color w:val="808080"/>
    </w:rPr>
  </w:style>
  <w:style w:type="paragraph" w:styleId="Sumrio3">
    <w:name w:val="toc 3"/>
    <w:basedOn w:val="Normal"/>
    <w:next w:val="Normal"/>
    <w:autoRedefine/>
    <w:uiPriority w:val="39"/>
    <w:unhideWhenUsed/>
    <w:rsid w:val="00500AE2"/>
    <w:pPr>
      <w:spacing w:before="0" w:after="100" w:line="259" w:lineRule="auto"/>
      <w:ind w:left="400"/>
    </w:pPr>
  </w:style>
  <w:style w:type="character" w:styleId="Refdecomentrio">
    <w:name w:val="annotation reference"/>
    <w:basedOn w:val="Fontepargpadro"/>
    <w:uiPriority w:val="99"/>
    <w:semiHidden/>
    <w:unhideWhenUsed/>
    <w:rsid w:val="00500AE2"/>
    <w:rPr>
      <w:sz w:val="16"/>
      <w:szCs w:val="16"/>
    </w:rPr>
  </w:style>
  <w:style w:type="paragraph" w:styleId="Textodecomentrio">
    <w:name w:val="annotation text"/>
    <w:basedOn w:val="Normal"/>
    <w:link w:val="TextodecomentrioChar"/>
    <w:uiPriority w:val="99"/>
    <w:semiHidden/>
    <w:unhideWhenUsed/>
    <w:rsid w:val="00500AE2"/>
    <w:pPr>
      <w:spacing w:before="0" w:after="160"/>
    </w:pPr>
    <w:rPr>
      <w:szCs w:val="20"/>
    </w:rPr>
  </w:style>
  <w:style w:type="character" w:customStyle="1" w:styleId="TextodecomentrioChar">
    <w:name w:val="Texto de comentário Char"/>
    <w:basedOn w:val="Fontepargpadro"/>
    <w:link w:val="Textodecomentrio"/>
    <w:uiPriority w:val="99"/>
    <w:semiHidden/>
    <w:rsid w:val="00500AE2"/>
    <w:rPr>
      <w:rFonts w:ascii="Gentona Light" w:hAnsi="Gentona Light"/>
      <w:color w:val="0D0E0E"/>
      <w:szCs w:val="20"/>
    </w:rPr>
  </w:style>
  <w:style w:type="paragraph" w:styleId="Assuntodocomentrio">
    <w:name w:val="annotation subject"/>
    <w:basedOn w:val="Textodecomentrio"/>
    <w:next w:val="Textodecomentrio"/>
    <w:link w:val="AssuntodocomentrioChar"/>
    <w:uiPriority w:val="99"/>
    <w:semiHidden/>
    <w:unhideWhenUsed/>
    <w:rsid w:val="00500AE2"/>
    <w:rPr>
      <w:b/>
      <w:bCs/>
    </w:rPr>
  </w:style>
  <w:style w:type="character" w:customStyle="1" w:styleId="AssuntodocomentrioChar">
    <w:name w:val="Assunto do comentário Char"/>
    <w:basedOn w:val="TextodecomentrioChar"/>
    <w:link w:val="Assuntodocomentrio"/>
    <w:uiPriority w:val="99"/>
    <w:semiHidden/>
    <w:rsid w:val="00500AE2"/>
    <w:rPr>
      <w:rFonts w:ascii="Gentona Light" w:hAnsi="Gentona Light"/>
      <w:b/>
      <w:bCs/>
      <w:color w:val="0D0E0E"/>
      <w:szCs w:val="20"/>
    </w:rPr>
  </w:style>
  <w:style w:type="table" w:customStyle="1" w:styleId="TabeladeGrade5Escura-nfase11">
    <w:name w:val="Tabela de Grade 5 Escura - Ênfase 11"/>
    <w:basedOn w:val="Tabelanormal"/>
    <w:uiPriority w:val="50"/>
    <w:rsid w:val="00500A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Lista1Clara-nfase31">
    <w:name w:val="Tabela de Lista 1 Clara - Ênfase 31"/>
    <w:basedOn w:val="Tabelanormal"/>
    <w:uiPriority w:val="46"/>
    <w:rsid w:val="00500AE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rte">
    <w:name w:val="Strong"/>
    <w:basedOn w:val="Fontepargpadro"/>
    <w:uiPriority w:val="22"/>
    <w:qFormat/>
    <w:rsid w:val="00500AE2"/>
    <w:rPr>
      <w:b/>
      <w:bCs/>
    </w:rPr>
  </w:style>
  <w:style w:type="character" w:customStyle="1" w:styleId="MenoPendente1">
    <w:name w:val="Menção Pendente1"/>
    <w:basedOn w:val="Fontepargpadro"/>
    <w:uiPriority w:val="99"/>
    <w:semiHidden/>
    <w:unhideWhenUsed/>
    <w:rsid w:val="00500AE2"/>
    <w:rPr>
      <w:color w:val="605E5C"/>
      <w:shd w:val="clear" w:color="auto" w:fill="E1DFDD"/>
    </w:rPr>
  </w:style>
  <w:style w:type="paragraph" w:styleId="Textodenotaderodap">
    <w:name w:val="footnote text"/>
    <w:basedOn w:val="Normal"/>
    <w:link w:val="TextodenotaderodapChar"/>
    <w:uiPriority w:val="99"/>
    <w:semiHidden/>
    <w:unhideWhenUsed/>
    <w:rsid w:val="00500AE2"/>
    <w:pPr>
      <w:spacing w:before="0" w:after="0"/>
    </w:pPr>
    <w:rPr>
      <w:sz w:val="20"/>
      <w:szCs w:val="20"/>
    </w:rPr>
  </w:style>
  <w:style w:type="character" w:customStyle="1" w:styleId="TextodenotaderodapChar">
    <w:name w:val="Texto de nota de rodapé Char"/>
    <w:basedOn w:val="Fontepargpadro"/>
    <w:link w:val="Textodenotaderodap"/>
    <w:uiPriority w:val="99"/>
    <w:semiHidden/>
    <w:rsid w:val="00500AE2"/>
    <w:rPr>
      <w:rFonts w:ascii="Gentona Light" w:hAnsi="Gentona Light"/>
      <w:color w:val="0D0E0E"/>
      <w:sz w:val="20"/>
      <w:szCs w:val="20"/>
    </w:rPr>
  </w:style>
  <w:style w:type="character" w:styleId="Refdenotaderodap">
    <w:name w:val="footnote reference"/>
    <w:basedOn w:val="Fontepargpadro"/>
    <w:uiPriority w:val="99"/>
    <w:semiHidden/>
    <w:unhideWhenUsed/>
    <w:rsid w:val="00500AE2"/>
    <w:rPr>
      <w:vertAlign w:val="superscript"/>
    </w:rPr>
  </w:style>
  <w:style w:type="paragraph" w:customStyle="1" w:styleId="content-textcontainer">
    <w:name w:val="content-text__container"/>
    <w:basedOn w:val="Normal"/>
    <w:rsid w:val="00500AE2"/>
    <w:pPr>
      <w:spacing w:before="100" w:beforeAutospacing="1" w:after="100" w:afterAutospacing="1"/>
      <w:jc w:val="left"/>
    </w:pPr>
    <w:rPr>
      <w:rFonts w:ascii="Times New Roman" w:eastAsia="Times New Roman" w:hAnsi="Times New Roman" w:cs="Times New Roman"/>
      <w:color w:val="auto"/>
      <w:szCs w:val="24"/>
      <w:lang w:eastAsia="pt-BR"/>
    </w:rPr>
  </w:style>
  <w:style w:type="table" w:styleId="TabeladeGrade4">
    <w:name w:val="Grid Table 4"/>
    <w:basedOn w:val="Tabelanormal"/>
    <w:uiPriority w:val="49"/>
    <w:rsid w:val="008E1C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3">
    <w:name w:val="Grid Table 4 Accent 3"/>
    <w:basedOn w:val="Tabelanormal"/>
    <w:uiPriority w:val="49"/>
    <w:rsid w:val="00EF43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
    <w:name w:val="Unresolved Mention"/>
    <w:basedOn w:val="Fontepargpadro"/>
    <w:uiPriority w:val="99"/>
    <w:semiHidden/>
    <w:unhideWhenUsed/>
    <w:rsid w:val="00B65FF2"/>
    <w:rPr>
      <w:color w:val="605E5C"/>
      <w:shd w:val="clear" w:color="auto" w:fill="E1DFDD"/>
    </w:rPr>
  </w:style>
  <w:style w:type="character" w:customStyle="1" w:styleId="paragrafo">
    <w:name w:val="paragrafo"/>
    <w:basedOn w:val="Fontepargpadro"/>
    <w:rsid w:val="005C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0238">
      <w:bodyDiv w:val="1"/>
      <w:marLeft w:val="0"/>
      <w:marRight w:val="0"/>
      <w:marTop w:val="0"/>
      <w:marBottom w:val="0"/>
      <w:divBdr>
        <w:top w:val="none" w:sz="0" w:space="0" w:color="auto"/>
        <w:left w:val="none" w:sz="0" w:space="0" w:color="auto"/>
        <w:bottom w:val="none" w:sz="0" w:space="0" w:color="auto"/>
        <w:right w:val="none" w:sz="0" w:space="0" w:color="auto"/>
      </w:divBdr>
    </w:div>
    <w:div w:id="510798205">
      <w:bodyDiv w:val="1"/>
      <w:marLeft w:val="0"/>
      <w:marRight w:val="0"/>
      <w:marTop w:val="0"/>
      <w:marBottom w:val="0"/>
      <w:divBdr>
        <w:top w:val="none" w:sz="0" w:space="0" w:color="auto"/>
        <w:left w:val="none" w:sz="0" w:space="0" w:color="auto"/>
        <w:bottom w:val="none" w:sz="0" w:space="0" w:color="auto"/>
        <w:right w:val="none" w:sz="0" w:space="0" w:color="auto"/>
      </w:divBdr>
    </w:div>
    <w:div w:id="611517096">
      <w:bodyDiv w:val="1"/>
      <w:marLeft w:val="0"/>
      <w:marRight w:val="0"/>
      <w:marTop w:val="0"/>
      <w:marBottom w:val="0"/>
      <w:divBdr>
        <w:top w:val="none" w:sz="0" w:space="0" w:color="auto"/>
        <w:left w:val="none" w:sz="0" w:space="0" w:color="auto"/>
        <w:bottom w:val="none" w:sz="0" w:space="0" w:color="auto"/>
        <w:right w:val="none" w:sz="0" w:space="0" w:color="auto"/>
      </w:divBdr>
    </w:div>
    <w:div w:id="1091242298">
      <w:bodyDiv w:val="1"/>
      <w:marLeft w:val="0"/>
      <w:marRight w:val="0"/>
      <w:marTop w:val="0"/>
      <w:marBottom w:val="0"/>
      <w:divBdr>
        <w:top w:val="none" w:sz="0" w:space="0" w:color="auto"/>
        <w:left w:val="none" w:sz="0" w:space="0" w:color="auto"/>
        <w:bottom w:val="none" w:sz="0" w:space="0" w:color="auto"/>
        <w:right w:val="none" w:sz="0" w:space="0" w:color="auto"/>
      </w:divBdr>
    </w:div>
    <w:div w:id="1173910581">
      <w:bodyDiv w:val="1"/>
      <w:marLeft w:val="0"/>
      <w:marRight w:val="0"/>
      <w:marTop w:val="0"/>
      <w:marBottom w:val="0"/>
      <w:divBdr>
        <w:top w:val="none" w:sz="0" w:space="0" w:color="auto"/>
        <w:left w:val="none" w:sz="0" w:space="0" w:color="auto"/>
        <w:bottom w:val="none" w:sz="0" w:space="0" w:color="auto"/>
        <w:right w:val="none" w:sz="0" w:space="0" w:color="auto"/>
      </w:divBdr>
    </w:div>
    <w:div w:id="1780489237">
      <w:bodyDiv w:val="1"/>
      <w:marLeft w:val="0"/>
      <w:marRight w:val="0"/>
      <w:marTop w:val="0"/>
      <w:marBottom w:val="0"/>
      <w:divBdr>
        <w:top w:val="none" w:sz="0" w:space="0" w:color="auto"/>
        <w:left w:val="none" w:sz="0" w:space="0" w:color="auto"/>
        <w:bottom w:val="none" w:sz="0" w:space="0" w:color="auto"/>
        <w:right w:val="none" w:sz="0" w:space="0" w:color="auto"/>
      </w:divBdr>
    </w:div>
    <w:div w:id="1867258164">
      <w:bodyDiv w:val="1"/>
      <w:marLeft w:val="0"/>
      <w:marRight w:val="0"/>
      <w:marTop w:val="0"/>
      <w:marBottom w:val="0"/>
      <w:divBdr>
        <w:top w:val="none" w:sz="0" w:space="0" w:color="auto"/>
        <w:left w:val="none" w:sz="0" w:space="0" w:color="auto"/>
        <w:bottom w:val="none" w:sz="0" w:space="0" w:color="auto"/>
        <w:right w:val="none" w:sz="0" w:space="0" w:color="auto"/>
      </w:divBdr>
    </w:div>
    <w:div w:id="18775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hyperlink" Target="https://tradingeconomics.com/united-states/government-bond-yield" TargetMode="External"/><Relationship Id="rId14" Type="http://schemas.openxmlformats.org/officeDocument/2006/relationships/image" Target="media/image6.png"/><Relationship Id="rId22" Type="http://schemas.openxmlformats.org/officeDocument/2006/relationships/hyperlink" Target="https://tradingeconomics.com/united-states/manufacturing-pmi"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yperlink" Target="https://tradingeconomics.com/brazil/composite-pmi"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tradingeconomics.com/commodity/crude-oil" TargetMode="Externa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ntTable" Target="fontTable.xml"/><Relationship Id="rId20" Type="http://schemas.openxmlformats.org/officeDocument/2006/relationships/hyperlink" Target="https://tradingeconomics.com/united-states/interest-rate" TargetMode="External"/><Relationship Id="rId41" Type="http://schemas.openxmlformats.org/officeDocument/2006/relationships/image" Target="media/image3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7251-C454-4272-B81F-A7A7E81E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42</Pages>
  <Words>17433</Words>
  <Characters>94143</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Zaniquelli</dc:creator>
  <cp:keywords/>
  <dc:description/>
  <cp:lastModifiedBy>Prefeitura</cp:lastModifiedBy>
  <cp:revision>14</cp:revision>
  <cp:lastPrinted>2022-06-10T19:56:00Z</cp:lastPrinted>
  <dcterms:created xsi:type="dcterms:W3CDTF">2023-11-08T14:41:00Z</dcterms:created>
  <dcterms:modified xsi:type="dcterms:W3CDTF">2023-12-15T18:45:00Z</dcterms:modified>
</cp:coreProperties>
</file>