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8A" w:rsidRDefault="00046C8A" w:rsidP="00046C8A">
      <w:pPr>
        <w:pStyle w:val="Corpodetexto"/>
        <w:spacing w:line="276" w:lineRule="auto"/>
        <w:ind w:left="567"/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 xml:space="preserve">ANEXO I </w:t>
      </w:r>
      <w:bookmarkStart w:id="0" w:name="_GoBack"/>
      <w:bookmarkEnd w:id="0"/>
    </w:p>
    <w:p w:rsidR="00E859B2" w:rsidRPr="00A030F3" w:rsidRDefault="00E859B2" w:rsidP="00046C8A">
      <w:pPr>
        <w:pStyle w:val="Corpodetexto"/>
        <w:spacing w:line="276" w:lineRule="auto"/>
        <w:ind w:left="567"/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  <w:r w:rsidRPr="00046C8A">
        <w:rPr>
          <w:rFonts w:ascii="Arial" w:hAnsi="Arial" w:cs="Arial"/>
          <w:b/>
          <w:bCs/>
          <w:sz w:val="20"/>
          <w:szCs w:val="20"/>
          <w:lang w:val="pt-BR"/>
        </w:rPr>
        <w:t>DESCRIÇÃO DO OBJETO DA PARCERIA E CONDIÇÕES GERAIS</w:t>
      </w:r>
    </w:p>
    <w:p w:rsidR="00E859B2" w:rsidRPr="00A030F3" w:rsidRDefault="00E859B2" w:rsidP="00E859B2">
      <w:pPr>
        <w:pStyle w:val="Corpodetexto"/>
        <w:spacing w:line="276" w:lineRule="auto"/>
        <w:ind w:left="567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center"/>
        <w:rPr>
          <w:rFonts w:ascii="Arial" w:eastAsia="Times New Roman" w:hAnsi="Arial" w:cs="Arial"/>
          <w:b/>
          <w:sz w:val="20"/>
          <w:szCs w:val="20"/>
          <w:lang w:val="pt-BR" w:eastAsia="pt-BR"/>
        </w:rPr>
      </w:pPr>
    </w:p>
    <w:p w:rsidR="00E859B2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b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b/>
          <w:sz w:val="20"/>
          <w:szCs w:val="20"/>
          <w:lang w:val="pt-BR" w:eastAsia="pt-BR"/>
        </w:rPr>
        <w:t>CARACTERIZAÇÃO DO SERVIÇO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6519B4">
        <w:rPr>
          <w:rFonts w:ascii="Arial" w:eastAsia="Times New Roman" w:hAnsi="Arial" w:cs="Arial"/>
          <w:b/>
          <w:sz w:val="20"/>
          <w:szCs w:val="20"/>
          <w:lang w:val="pt-BR" w:eastAsia="pt-BR"/>
        </w:rPr>
        <w:t xml:space="preserve">Serviço de Acolhimento Institucional para PSR – Pessoa em Situação de Rua Provisório, imediato e emergencial, compreendendo também pernoite (atendimento provisório excepcional) na modalidade Casa de </w:t>
      </w:r>
      <w:r w:rsidR="006519B4" w:rsidRPr="006519B4">
        <w:rPr>
          <w:rFonts w:ascii="Arial" w:eastAsia="Times New Roman" w:hAnsi="Arial" w:cs="Arial"/>
          <w:b/>
          <w:sz w:val="20"/>
          <w:szCs w:val="20"/>
          <w:lang w:val="pt-BR" w:eastAsia="pt-BR"/>
        </w:rPr>
        <w:t xml:space="preserve">Passagem, </w:t>
      </w:r>
      <w:r w:rsidR="006519B4" w:rsidRPr="006519B4">
        <w:rPr>
          <w:rFonts w:ascii="Arial" w:eastAsia="Times New Roman" w:hAnsi="Arial" w:cs="Arial"/>
          <w:sz w:val="20"/>
          <w:szCs w:val="20"/>
          <w:lang w:val="pt-BR" w:eastAsia="pt-BR"/>
        </w:rPr>
        <w:t>no</w:t>
      </w:r>
      <w:r w:rsidRPr="006519B4">
        <w:rPr>
          <w:rFonts w:ascii="Arial" w:eastAsia="Times New Roman" w:hAnsi="Arial" w:cs="Arial"/>
          <w:sz w:val="20"/>
          <w:szCs w:val="20"/>
          <w:lang w:val="pt-BR" w:eastAsia="pt-BR"/>
        </w:rPr>
        <w:t xml:space="preserve"> abrigo </w:t>
      </w:r>
      <w:r w:rsidR="006519B4" w:rsidRPr="006519B4">
        <w:rPr>
          <w:rFonts w:ascii="Arial" w:eastAsia="Times New Roman" w:hAnsi="Arial" w:cs="Arial"/>
          <w:sz w:val="20"/>
          <w:szCs w:val="20"/>
          <w:lang w:val="pt-BR" w:eastAsia="pt-BR"/>
        </w:rPr>
        <w:t xml:space="preserve">por </w:t>
      </w:r>
      <w:r w:rsidR="006519B4">
        <w:rPr>
          <w:rFonts w:ascii="Arial" w:eastAsia="Times New Roman" w:hAnsi="Arial" w:cs="Arial"/>
          <w:sz w:val="20"/>
          <w:szCs w:val="20"/>
          <w:lang w:val="pt-BR" w:eastAsia="pt-BR"/>
        </w:rPr>
        <w:t>até 90 dias</w:t>
      </w:r>
      <w:r w:rsidRPr="006519B4">
        <w:rPr>
          <w:rFonts w:ascii="Arial" w:eastAsia="Times New Roman" w:hAnsi="Arial" w:cs="Arial"/>
          <w:sz w:val="20"/>
          <w:szCs w:val="20"/>
          <w:lang w:val="pt-BR" w:eastAsia="pt-BR"/>
        </w:rPr>
        <w:t xml:space="preserve">, com profissionais preparados para receber usuários em qualquer horário do dia ou da noite, enquanto se realiza um estudo diagnóstico </w:t>
      </w: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>detalhado de cada situação para os encaminhamentos necessários.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b/>
          <w:sz w:val="20"/>
          <w:szCs w:val="20"/>
          <w:lang w:val="pt-BR" w:eastAsia="pt-BR"/>
        </w:rPr>
        <w:t>PUBLICO ALVO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b/>
          <w:sz w:val="20"/>
          <w:szCs w:val="20"/>
          <w:lang w:val="pt-BR" w:eastAsia="pt-BR"/>
        </w:rPr>
        <w:t>Pessoas de ambos os sexos, jovens, adultos, idosos ou grupo familiar</w:t>
      </w: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>. É previsto para pessoas em situação de rua e desabrigo por abandono, migração e ausência de residência ou pessoas em trânsito e sem condições de auto sustento.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b/>
          <w:sz w:val="20"/>
          <w:szCs w:val="20"/>
          <w:lang w:val="pt-BR" w:eastAsia="pt-BR"/>
        </w:rPr>
        <w:t>OBJETIVO GERAL</w:t>
      </w:r>
    </w:p>
    <w:p w:rsidR="00E859B2" w:rsidRPr="005C2E30" w:rsidRDefault="00E859B2" w:rsidP="00E859B2">
      <w:pPr>
        <w:widowControl/>
        <w:numPr>
          <w:ilvl w:val="0"/>
          <w:numId w:val="1"/>
        </w:numPr>
        <w:suppressAutoHyphens/>
        <w:autoSpaceDE/>
        <w:autoSpaceDN/>
        <w:spacing w:after="12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>Acolher e garantir proteção integral;</w:t>
      </w:r>
    </w:p>
    <w:p w:rsidR="00E859B2" w:rsidRPr="005C2E30" w:rsidRDefault="00E859B2" w:rsidP="00E859B2">
      <w:pPr>
        <w:widowControl/>
        <w:numPr>
          <w:ilvl w:val="0"/>
          <w:numId w:val="1"/>
        </w:numPr>
        <w:suppressAutoHyphens/>
        <w:autoSpaceDE/>
        <w:autoSpaceDN/>
        <w:spacing w:after="12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>Contribuir para a prevenção do agravamento de situações de negligencia, violência e ruptura de vínculos;</w:t>
      </w:r>
    </w:p>
    <w:p w:rsidR="00E859B2" w:rsidRPr="005C2E30" w:rsidRDefault="00E859B2" w:rsidP="00E859B2">
      <w:pPr>
        <w:widowControl/>
        <w:numPr>
          <w:ilvl w:val="0"/>
          <w:numId w:val="1"/>
        </w:numPr>
        <w:suppressAutoHyphens/>
        <w:autoSpaceDE/>
        <w:autoSpaceDN/>
        <w:spacing w:after="12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>Restabelecer vínculos familiares e/ou sociais;</w:t>
      </w:r>
    </w:p>
    <w:p w:rsidR="00E859B2" w:rsidRPr="005C2E30" w:rsidRDefault="00E859B2" w:rsidP="00E859B2">
      <w:pPr>
        <w:widowControl/>
        <w:numPr>
          <w:ilvl w:val="0"/>
          <w:numId w:val="1"/>
        </w:numPr>
        <w:suppressAutoHyphens/>
        <w:autoSpaceDE/>
        <w:autoSpaceDN/>
        <w:spacing w:after="12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>Possibilitar a convivência comunitária;</w:t>
      </w:r>
    </w:p>
    <w:p w:rsidR="00E859B2" w:rsidRPr="005C2E30" w:rsidRDefault="00E859B2" w:rsidP="00E859B2">
      <w:pPr>
        <w:widowControl/>
        <w:numPr>
          <w:ilvl w:val="0"/>
          <w:numId w:val="1"/>
        </w:numPr>
        <w:suppressAutoHyphens/>
        <w:autoSpaceDE/>
        <w:autoSpaceDN/>
        <w:spacing w:after="12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 xml:space="preserve">Promover acesso à rede </w:t>
      </w:r>
      <w:proofErr w:type="spellStart"/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>socioassistencial</w:t>
      </w:r>
      <w:proofErr w:type="spellEnd"/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>, aos demais órgãos do Sistema de Garantia de Direitos e às demais politicas publicas setoriais;</w:t>
      </w:r>
    </w:p>
    <w:p w:rsidR="00E859B2" w:rsidRPr="005C2E30" w:rsidRDefault="00E859B2" w:rsidP="00E859B2">
      <w:pPr>
        <w:widowControl/>
        <w:numPr>
          <w:ilvl w:val="0"/>
          <w:numId w:val="1"/>
        </w:numPr>
        <w:suppressAutoHyphens/>
        <w:autoSpaceDE/>
        <w:autoSpaceDN/>
        <w:spacing w:after="12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>Favorecer o surgimento e o desenvolvimento de aptidões, capacidades e oportunidades para que os indivíduos façam escolhas com autonomia;</w:t>
      </w:r>
    </w:p>
    <w:p w:rsidR="00E859B2" w:rsidRPr="005C2E30" w:rsidRDefault="00E859B2" w:rsidP="00E859B2">
      <w:pPr>
        <w:widowControl/>
        <w:numPr>
          <w:ilvl w:val="0"/>
          <w:numId w:val="1"/>
        </w:numPr>
        <w:suppressAutoHyphens/>
        <w:autoSpaceDE/>
        <w:autoSpaceDN/>
        <w:spacing w:after="12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>Promover o acesso a programações culturais, de lazer, de esporte e ocupacionais internas e externas, relacionando-as a interesses, vivencias, desejos e possibilidades do público.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b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b/>
          <w:sz w:val="20"/>
          <w:szCs w:val="20"/>
          <w:lang w:val="pt-BR" w:eastAsia="pt-BR"/>
        </w:rPr>
        <w:t>OBJETIVOS ESPECÍFICOS</w:t>
      </w:r>
    </w:p>
    <w:p w:rsidR="00E859B2" w:rsidRPr="005C2E30" w:rsidRDefault="00E859B2" w:rsidP="00E859B2">
      <w:pPr>
        <w:widowControl/>
        <w:numPr>
          <w:ilvl w:val="0"/>
          <w:numId w:val="2"/>
        </w:numPr>
        <w:suppressAutoHyphens/>
        <w:autoSpaceDE/>
        <w:autoSpaceDN/>
        <w:spacing w:after="120" w:line="259" w:lineRule="auto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>Desenvolver condições para a independência e o autocuidado;</w:t>
      </w:r>
    </w:p>
    <w:p w:rsidR="00E859B2" w:rsidRPr="005C2E30" w:rsidRDefault="00E859B2" w:rsidP="00E859B2">
      <w:pPr>
        <w:widowControl/>
        <w:numPr>
          <w:ilvl w:val="0"/>
          <w:numId w:val="2"/>
        </w:numPr>
        <w:suppressAutoHyphens/>
        <w:autoSpaceDE/>
        <w:autoSpaceDN/>
        <w:spacing w:after="120" w:line="259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>Promover o acesso à rede de qualificação e requalificação profissional com vistas à inclusão produtiva.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</w:p>
    <w:p w:rsidR="00E859B2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b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b/>
          <w:sz w:val="20"/>
          <w:szCs w:val="20"/>
          <w:lang w:val="pt-BR" w:eastAsia="pt-BR"/>
        </w:rPr>
        <w:t>FUNCIONAMENTO E INFRAESTRUTURA NECESSÁRIA</w:t>
      </w:r>
    </w:p>
    <w:p w:rsidR="007F5361" w:rsidRDefault="007F5361" w:rsidP="00E859B2">
      <w:pPr>
        <w:widowControl/>
        <w:autoSpaceDE/>
        <w:autoSpaceDN/>
        <w:spacing w:after="120"/>
        <w:contextualSpacing/>
        <w:jc w:val="both"/>
        <w:rPr>
          <w:sz w:val="20"/>
          <w:szCs w:val="20"/>
        </w:rPr>
      </w:pPr>
      <w:r w:rsidRPr="007F5361">
        <w:rPr>
          <w:sz w:val="20"/>
          <w:szCs w:val="20"/>
        </w:rPr>
        <w:t>Com sede ou instalações no município de Jaguariuna</w:t>
      </w:r>
      <w:r>
        <w:rPr>
          <w:sz w:val="20"/>
          <w:szCs w:val="20"/>
        </w:rPr>
        <w:t xml:space="preserve"> e</w:t>
      </w:r>
      <w:r w:rsidRPr="007F5361">
        <w:rPr>
          <w:sz w:val="20"/>
          <w:szCs w:val="20"/>
        </w:rPr>
        <w:t xml:space="preserve"> inscritas no Conselho Municipal de Assistência Social de Jaguariuna</w:t>
      </w:r>
    </w:p>
    <w:p w:rsidR="007F5361" w:rsidRPr="007F5361" w:rsidRDefault="007F5361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</w:p>
    <w:p w:rsidR="00E859B2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val="pt-BR" w:eastAsia="pt-BR"/>
        </w:rPr>
      </w:pPr>
      <w:r w:rsidRPr="005C2E30">
        <w:rPr>
          <w:rFonts w:ascii="Arial" w:eastAsia="Times New Roman" w:hAnsi="Arial" w:cs="Arial"/>
          <w:b/>
          <w:sz w:val="20"/>
          <w:szCs w:val="20"/>
          <w:u w:val="single"/>
          <w:lang w:val="pt-BR" w:eastAsia="pt-BR"/>
        </w:rPr>
        <w:t>Ininterrupto 24 horas por dia, 7 dias na semana.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>Deve ser distribuído no espaço urbano de forma democrática, respeitando o direito de permanência e usufruto da cidade com segurança, igualdade de condições e acesso a serviços públicos.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b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b/>
          <w:sz w:val="20"/>
          <w:szCs w:val="20"/>
          <w:lang w:val="pt-BR" w:eastAsia="pt-BR"/>
        </w:rPr>
        <w:t>AMBIENTE FÍSICO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 xml:space="preserve">Espaço para realização de atividades coletiva e/ou comunitárias, espaço para </w:t>
      </w:r>
      <w:proofErr w:type="gramStart"/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>moradia,  endereço</w:t>
      </w:r>
      <w:proofErr w:type="gramEnd"/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 xml:space="preserve"> de referência, condições de repouso, espaço de estar e convívio, alimentação, guarda de pertences, lavagem e secagem de roupas, banho e higiene pessoal, vestuário e pertences. Acessibilidade de acordo com as normas da ABNT.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b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b/>
          <w:sz w:val="20"/>
          <w:szCs w:val="20"/>
          <w:lang w:val="pt-BR" w:eastAsia="pt-BR"/>
        </w:rPr>
        <w:t>RECURSOS MATERIAIS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lastRenderedPageBreak/>
        <w:t>Material permanente e material de consumo necessário para o desenvolvimento do serviço, tais como: mobiliário, computador, impressora, telefone, camas, colchoes, roupa de cama e banho, utensílios para cozinha, alimentos, material de higiene e limpeza, vestuário, entre outros;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>Materiais pedagógicos, culturais e esportivos;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 xml:space="preserve">Banco de dados de usuários, benefícios e serviços </w:t>
      </w:r>
      <w:proofErr w:type="spellStart"/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>socioassistenciais</w:t>
      </w:r>
      <w:proofErr w:type="spellEnd"/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>;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>Cadastro Único dos Programas Sociais;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>Cadastro dos Beneficiários do BPC.</w:t>
      </w:r>
    </w:p>
    <w:p w:rsidR="00E859B2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b/>
          <w:sz w:val="20"/>
          <w:szCs w:val="20"/>
          <w:lang w:val="pt-BR" w:eastAsia="pt-BR"/>
        </w:rPr>
      </w:pP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b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b/>
          <w:sz w:val="20"/>
          <w:szCs w:val="20"/>
          <w:lang w:val="pt-BR" w:eastAsia="pt-BR"/>
        </w:rPr>
        <w:t>FORMA DE ACESSO AO SERVIÇO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>Por encaminhamento do CRAS e CREAS;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 xml:space="preserve">Demais serviços </w:t>
      </w:r>
      <w:proofErr w:type="spellStart"/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>socioassistenciais</w:t>
      </w:r>
      <w:proofErr w:type="spellEnd"/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>;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>De outras políticas públicas setoriais e de defesa de direitos;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>Demanda espontânea.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b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b/>
          <w:sz w:val="20"/>
          <w:szCs w:val="20"/>
          <w:lang w:val="pt-BR" w:eastAsia="pt-BR"/>
        </w:rPr>
        <w:t>ABRANGÊNCIA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>Município compreendendo a área urbana e a rural.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b/>
          <w:sz w:val="20"/>
          <w:szCs w:val="20"/>
          <w:lang w:val="pt-BR" w:eastAsia="pt-BR"/>
        </w:rPr>
        <w:t>INDICATIVOS DE AVALIAÇÃO (QUANTITATIVOS E QUALITATIVOS)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>Para fins de monitoramento e avaliação do objeto da parceria, pela Administração Pública, serão considerados os indicadores quantitativos e qualitativos, abaixo listados, como também, os demais elementos e documentos comprobatórios, que comporão a prestação de contas, no âmbito da execução do serviço.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127"/>
        <w:gridCol w:w="2106"/>
        <w:gridCol w:w="2110"/>
      </w:tblGrid>
      <w:tr w:rsidR="00E859B2" w:rsidRPr="005C2E30" w:rsidTr="001E04D5">
        <w:tc>
          <w:tcPr>
            <w:tcW w:w="2161" w:type="dxa"/>
            <w:vMerge w:val="restart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Impacto Social Esperado</w:t>
            </w:r>
          </w:p>
        </w:tc>
        <w:tc>
          <w:tcPr>
            <w:tcW w:w="6484" w:type="dxa"/>
            <w:gridSpan w:val="3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Indicadores</w:t>
            </w:r>
          </w:p>
        </w:tc>
      </w:tr>
      <w:tr w:rsidR="00E859B2" w:rsidRPr="005C2E30" w:rsidTr="001E04D5">
        <w:tc>
          <w:tcPr>
            <w:tcW w:w="2161" w:type="dxa"/>
            <w:vMerge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Qualitativo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Instrumento de Verificação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Periodicidade</w:t>
            </w:r>
          </w:p>
        </w:tc>
      </w:tr>
      <w:tr w:rsidR="00E859B2" w:rsidRPr="005C2E30" w:rsidTr="001E04D5">
        <w:tc>
          <w:tcPr>
            <w:tcW w:w="2161" w:type="dxa"/>
            <w:vMerge w:val="restart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 xml:space="preserve">Redução das violações dos direitos </w:t>
            </w:r>
            <w:proofErr w:type="spellStart"/>
            <w:r w:rsidRPr="005C2E30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socioassistenciais</w:t>
            </w:r>
            <w:proofErr w:type="spellEnd"/>
            <w:r w:rsidRPr="005C2E30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, seus agravamentos ou reincidência.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Diminuição do número de ocorrências de violações de direitos dos acolhidos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Atendimentos, depoimentos, reuniões, relatórios e grupos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Bimestral</w:t>
            </w:r>
          </w:p>
        </w:tc>
      </w:tr>
      <w:tr w:rsidR="00E859B2" w:rsidRPr="005C2E30" w:rsidTr="001E04D5">
        <w:tc>
          <w:tcPr>
            <w:tcW w:w="2161" w:type="dxa"/>
            <w:vMerge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Quantitativo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Instrumento de Verificação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Periodicidade</w:t>
            </w:r>
          </w:p>
        </w:tc>
      </w:tr>
      <w:tr w:rsidR="00E859B2" w:rsidRPr="005C2E30" w:rsidTr="001E04D5">
        <w:tc>
          <w:tcPr>
            <w:tcW w:w="2161" w:type="dxa"/>
            <w:vMerge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Número de usuários e famílias comprometidos com o plano de ação sobre o total de acolhidos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Lista de presença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Mensal</w:t>
            </w:r>
          </w:p>
        </w:tc>
      </w:tr>
      <w:tr w:rsidR="00E859B2" w:rsidRPr="005C2E30" w:rsidTr="001E04D5">
        <w:tc>
          <w:tcPr>
            <w:tcW w:w="2161" w:type="dxa"/>
            <w:vMerge w:val="restart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Redução de pessoas em situação de rua e de abandono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Qualitativo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Instrumento de Verificação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Periodicidade</w:t>
            </w:r>
          </w:p>
        </w:tc>
      </w:tr>
      <w:tr w:rsidR="00E859B2" w:rsidRPr="005C2E30" w:rsidTr="001E04D5">
        <w:tc>
          <w:tcPr>
            <w:tcW w:w="2161" w:type="dxa"/>
            <w:vMerge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Diminuição do número de pessoas em situação de abandono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Lista de acolhidos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Bimestral</w:t>
            </w:r>
          </w:p>
        </w:tc>
      </w:tr>
      <w:tr w:rsidR="00E859B2" w:rsidRPr="005C2E30" w:rsidTr="001E04D5">
        <w:tc>
          <w:tcPr>
            <w:tcW w:w="2161" w:type="dxa"/>
            <w:vMerge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Quantitativo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Instrumento de Verificação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Periodicidade</w:t>
            </w:r>
          </w:p>
        </w:tc>
      </w:tr>
      <w:tr w:rsidR="00E859B2" w:rsidRPr="005C2E30" w:rsidTr="001E04D5">
        <w:tc>
          <w:tcPr>
            <w:tcW w:w="2161" w:type="dxa"/>
            <w:vMerge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Número de usuários abandonados inseridos no acolhimento sobre o total de acolhidos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Lista de acolhidos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Mensal</w:t>
            </w:r>
          </w:p>
        </w:tc>
      </w:tr>
      <w:tr w:rsidR="00E859B2" w:rsidRPr="005C2E30" w:rsidTr="001E04D5">
        <w:tc>
          <w:tcPr>
            <w:tcW w:w="2161" w:type="dxa"/>
            <w:vMerge w:val="restart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lastRenderedPageBreak/>
              <w:t>Indivíduos e famílias protegidas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Qualitativo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Instrumento de Verificação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Periodicidade</w:t>
            </w:r>
          </w:p>
        </w:tc>
      </w:tr>
      <w:tr w:rsidR="00E859B2" w:rsidRPr="005C2E30" w:rsidTr="001E04D5">
        <w:tc>
          <w:tcPr>
            <w:tcW w:w="2161" w:type="dxa"/>
            <w:vMerge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Fortalecimento da rede pessoal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Mapa da rede pessoal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Bimestral</w:t>
            </w:r>
          </w:p>
        </w:tc>
      </w:tr>
      <w:tr w:rsidR="00E859B2" w:rsidRPr="005C2E30" w:rsidTr="001E04D5">
        <w:tc>
          <w:tcPr>
            <w:tcW w:w="2161" w:type="dxa"/>
            <w:vMerge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Quantitativo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Instrumento de Verificação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Periodicidade</w:t>
            </w:r>
          </w:p>
        </w:tc>
      </w:tr>
      <w:tr w:rsidR="00E859B2" w:rsidRPr="005C2E30" w:rsidTr="001E04D5">
        <w:tc>
          <w:tcPr>
            <w:tcW w:w="2161" w:type="dxa"/>
            <w:vMerge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Número de visitas realizadas pela família aos acolhidos sobre o total de visitas no mês</w:t>
            </w:r>
          </w:p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Número de reuniões realizadas com a rede pessoal do acolhido sobre o número total de reuniões agendadas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Lista de presença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Mensal</w:t>
            </w:r>
          </w:p>
        </w:tc>
      </w:tr>
      <w:tr w:rsidR="00E859B2" w:rsidRPr="005C2E30" w:rsidTr="001E04D5">
        <w:tc>
          <w:tcPr>
            <w:tcW w:w="2161" w:type="dxa"/>
            <w:vMerge w:val="restart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Construção da autonomia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Qualitativo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Instrumento de Verificação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Periodicidade</w:t>
            </w:r>
          </w:p>
        </w:tc>
      </w:tr>
      <w:tr w:rsidR="00E859B2" w:rsidRPr="005C2E30" w:rsidTr="001E04D5">
        <w:tc>
          <w:tcPr>
            <w:tcW w:w="2161" w:type="dxa"/>
            <w:vMerge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Aumento da autonomia, independência do usuário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Atendimentos, depoimentos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Bimestral</w:t>
            </w:r>
          </w:p>
        </w:tc>
      </w:tr>
      <w:tr w:rsidR="00E859B2" w:rsidRPr="005C2E30" w:rsidTr="001E04D5">
        <w:tc>
          <w:tcPr>
            <w:tcW w:w="2161" w:type="dxa"/>
            <w:vMerge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Quantitativo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Instrumento de Verificação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Periodicidade</w:t>
            </w:r>
          </w:p>
        </w:tc>
      </w:tr>
      <w:tr w:rsidR="00E859B2" w:rsidRPr="005C2E30" w:rsidTr="001E04D5">
        <w:tc>
          <w:tcPr>
            <w:tcW w:w="2161" w:type="dxa"/>
            <w:vMerge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Número de usuários inseridos em atividades internas/externas sobre o total de acolhidos</w:t>
            </w:r>
          </w:p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Número de usuários inseridos em programas de transferência de renda e outras políticas públicas sobre o total de acolhidos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Lista de presença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Mensal</w:t>
            </w:r>
          </w:p>
        </w:tc>
      </w:tr>
    </w:tbl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b/>
          <w:sz w:val="20"/>
          <w:szCs w:val="20"/>
          <w:lang w:val="pt-BR" w:eastAsia="pt-BR"/>
        </w:rPr>
        <w:t>TRABALHO SOCIOASSISTENCIAL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 xml:space="preserve">Acolhida/Recepção; 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 xml:space="preserve">Escuta; 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 xml:space="preserve">Desenvolvimento do convívio familiar; grupal e social; 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 xml:space="preserve">Estudo social; 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 xml:space="preserve">Apoio à família na sua função protetiva; 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 xml:space="preserve">Cuidados pessoais; 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 xml:space="preserve">Orientação e encaminhamentos sobre/para a rede de serviços locais com resolutividade; 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b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b/>
          <w:sz w:val="20"/>
          <w:szCs w:val="20"/>
          <w:lang w:val="pt-BR" w:eastAsia="pt-BR"/>
        </w:rPr>
        <w:t xml:space="preserve">Construção do plano individual e/ou familiar de atendimento; 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 xml:space="preserve">Orientação </w:t>
      </w:r>
      <w:proofErr w:type="spellStart"/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>sociofamiliar</w:t>
      </w:r>
      <w:proofErr w:type="spellEnd"/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 xml:space="preserve">; protocolos; 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 xml:space="preserve">Acompanhamento e monitoramento dos encaminhamentos realizados; 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 xml:space="preserve">Referência e </w:t>
      </w:r>
      <w:proofErr w:type="spellStart"/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>contrarreferência</w:t>
      </w:r>
      <w:proofErr w:type="spellEnd"/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 xml:space="preserve">; 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b/>
          <w:sz w:val="20"/>
          <w:szCs w:val="20"/>
          <w:lang w:val="pt-BR" w:eastAsia="pt-BR"/>
        </w:rPr>
        <w:t>Elaboração de relatórios e/ou prontuários</w:t>
      </w: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 xml:space="preserve">; 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 xml:space="preserve">Trabalho interdisciplinar; 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>Articulação e encaminhamento aos órgãos de capacitação e preparação para o acesso ao trabalho;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 xml:space="preserve">Diagnostico socioeconômico; 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 xml:space="preserve">Informação, comunicação e defesa de direitos; 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 xml:space="preserve">Orientação para acesso a documentação pessoal; 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 xml:space="preserve">Atividades de convívio e de organização da vida cotidiana; 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 xml:space="preserve">Estímulo ao convívio familiar, grupal e social; 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 xml:space="preserve">Mobilização, identificação da família extensa ou ampliada; 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 xml:space="preserve">Mobilização para o exercício da cidadania; 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 xml:space="preserve">Articulação da rede de serviços </w:t>
      </w:r>
      <w:proofErr w:type="spellStart"/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>socioassistenciais</w:t>
      </w:r>
      <w:proofErr w:type="spellEnd"/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 xml:space="preserve">; 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 xml:space="preserve">Articulação com os serviços de outras políticas públicas setoriais e de defesa de direitos; 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 xml:space="preserve">Articulação </w:t>
      </w:r>
      <w:proofErr w:type="spellStart"/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>intersetorial</w:t>
      </w:r>
      <w:proofErr w:type="spellEnd"/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 xml:space="preserve"> com os demais órgãos do Sistema de Garantia de Direitos; 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 xml:space="preserve">Monitoramento e avaliação do serviço; 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>Organização de banco de dados e informações sobre o serviço, sobre organizações governamentais e não governamentais e sobre o Sistema de Garantia de Direitos.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b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b/>
          <w:sz w:val="20"/>
          <w:szCs w:val="20"/>
          <w:lang w:val="pt-BR" w:eastAsia="pt-BR"/>
        </w:rPr>
        <w:t>AQUISIÇÕES DOS USUÁRIOS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>Segurança de acolhida;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>Segurança de convívio ou convivência familiar, comunitária e social;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>Segurança de desenvolvimento de autonomia individual, familiar e social.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</w:p>
    <w:p w:rsidR="00E859B2" w:rsidRPr="006519B4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6519B4">
        <w:rPr>
          <w:rFonts w:ascii="Arial" w:eastAsia="Times New Roman" w:hAnsi="Arial" w:cs="Arial"/>
          <w:b/>
          <w:sz w:val="20"/>
          <w:szCs w:val="20"/>
          <w:lang w:val="pt-BR" w:eastAsia="pt-BR"/>
        </w:rPr>
        <w:t>META</w:t>
      </w:r>
    </w:p>
    <w:p w:rsidR="00E859B2" w:rsidRPr="006519B4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025EDE">
        <w:rPr>
          <w:rFonts w:ascii="Arial" w:eastAsia="Times New Roman" w:hAnsi="Arial" w:cs="Arial"/>
          <w:b/>
          <w:sz w:val="20"/>
          <w:szCs w:val="20"/>
          <w:lang w:val="pt-BR" w:eastAsia="pt-BR"/>
        </w:rPr>
        <w:t>Serão ofertadas 15 vagas</w:t>
      </w:r>
      <w:bookmarkStart w:id="1" w:name="OLE_LINK1"/>
      <w:r w:rsidRPr="006519B4">
        <w:rPr>
          <w:rFonts w:ascii="Arial" w:eastAsia="Times New Roman" w:hAnsi="Arial" w:cs="Arial"/>
          <w:sz w:val="20"/>
          <w:szCs w:val="20"/>
          <w:lang w:val="pt-BR" w:eastAsia="pt-BR"/>
        </w:rPr>
        <w:t>,</w:t>
      </w:r>
      <w:r w:rsidR="00853D37">
        <w:rPr>
          <w:rFonts w:ascii="Arial" w:eastAsia="Times New Roman" w:hAnsi="Arial" w:cs="Arial"/>
          <w:sz w:val="20"/>
          <w:szCs w:val="20"/>
          <w:lang w:val="pt-BR" w:eastAsia="pt-BR"/>
        </w:rPr>
        <w:t xml:space="preserve"> para acolhimento institucional,</w:t>
      </w:r>
      <w:r w:rsidRPr="006519B4">
        <w:rPr>
          <w:rFonts w:ascii="Arial" w:eastAsia="Times New Roman" w:hAnsi="Arial" w:cs="Arial"/>
          <w:sz w:val="20"/>
          <w:szCs w:val="20"/>
          <w:lang w:val="pt-BR" w:eastAsia="pt-BR"/>
        </w:rPr>
        <w:t xml:space="preserve"> para pessoas de ambos os sexos e/ou grupo familiar </w:t>
      </w:r>
      <w:proofErr w:type="gramStart"/>
      <w:r w:rsidRPr="006519B4">
        <w:rPr>
          <w:rFonts w:ascii="Arial" w:eastAsia="Times New Roman" w:hAnsi="Arial" w:cs="Arial"/>
          <w:sz w:val="20"/>
          <w:szCs w:val="20"/>
          <w:lang w:val="pt-BR" w:eastAsia="pt-BR"/>
        </w:rPr>
        <w:t>provisório modalidade</w:t>
      </w:r>
      <w:proofErr w:type="gramEnd"/>
      <w:r w:rsidRPr="006519B4">
        <w:rPr>
          <w:rFonts w:ascii="Arial" w:eastAsia="Times New Roman" w:hAnsi="Arial" w:cs="Arial"/>
          <w:sz w:val="20"/>
          <w:szCs w:val="20"/>
          <w:lang w:val="pt-BR" w:eastAsia="pt-BR"/>
        </w:rPr>
        <w:t xml:space="preserve"> casa de passagem.</w:t>
      </w:r>
    </w:p>
    <w:p w:rsidR="00E859B2" w:rsidRPr="006519B4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</w:p>
    <w:p w:rsidR="00E859B2" w:rsidRPr="00853D37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highlight w:val="yellow"/>
          <w:lang w:val="pt-BR" w:eastAsia="pt-BR"/>
        </w:rPr>
      </w:pPr>
      <w:r w:rsidRPr="00853D37">
        <w:rPr>
          <w:rFonts w:ascii="Arial" w:eastAsia="Times New Roman" w:hAnsi="Arial" w:cs="Arial"/>
          <w:b/>
          <w:sz w:val="20"/>
          <w:szCs w:val="20"/>
          <w:highlight w:val="yellow"/>
          <w:lang w:val="pt-BR" w:eastAsia="pt-BR"/>
        </w:rPr>
        <w:t xml:space="preserve">VALOR DO REPASSE E </w:t>
      </w:r>
      <w:r w:rsidRPr="00853D37">
        <w:rPr>
          <w:rFonts w:ascii="Arial" w:eastAsia="Times New Roman" w:hAnsi="Arial" w:cs="Arial"/>
          <w:b/>
          <w:bCs/>
          <w:sz w:val="20"/>
          <w:szCs w:val="20"/>
          <w:highlight w:val="yellow"/>
          <w:lang w:val="pt-BR" w:eastAsia="pt-BR"/>
        </w:rPr>
        <w:t>RECURSOS FINANCEIROS:</w:t>
      </w:r>
    </w:p>
    <w:p w:rsidR="00E859B2" w:rsidRPr="00853D37" w:rsidRDefault="00E859B2" w:rsidP="00E859B2">
      <w:pPr>
        <w:widowControl/>
        <w:suppressAutoHyphens/>
        <w:autoSpaceDE/>
        <w:autoSpaceDN/>
        <w:rPr>
          <w:rFonts w:ascii="Arial" w:eastAsia="SimSun" w:hAnsi="Arial" w:cs="Arial"/>
          <w:kern w:val="1"/>
          <w:sz w:val="20"/>
          <w:szCs w:val="20"/>
          <w:highlight w:val="yellow"/>
          <w:lang w:val="pt-BR" w:eastAsia="zh-CN" w:bidi="hi-IN"/>
        </w:rPr>
      </w:pPr>
    </w:p>
    <w:p w:rsidR="00E859B2" w:rsidRPr="00853D37" w:rsidRDefault="00E859B2" w:rsidP="00E859B2">
      <w:pPr>
        <w:widowControl/>
        <w:suppressAutoHyphens/>
        <w:autoSpaceDE/>
        <w:autoSpaceDN/>
        <w:jc w:val="both"/>
        <w:rPr>
          <w:rFonts w:ascii="Arial" w:eastAsia="SimSun" w:hAnsi="Arial" w:cs="Arial"/>
          <w:kern w:val="1"/>
          <w:sz w:val="20"/>
          <w:szCs w:val="20"/>
          <w:highlight w:val="yellow"/>
          <w:lang w:val="pt-BR" w:eastAsia="zh-CN" w:bidi="hi-IN"/>
        </w:rPr>
      </w:pPr>
      <w:r w:rsidRPr="00853D37">
        <w:rPr>
          <w:rFonts w:ascii="Arial" w:eastAsia="SimSun" w:hAnsi="Arial" w:cs="Arial"/>
          <w:kern w:val="1"/>
          <w:sz w:val="20"/>
          <w:szCs w:val="20"/>
          <w:highlight w:val="yellow"/>
          <w:lang w:val="pt-BR" w:eastAsia="zh-CN" w:bidi="hi-IN"/>
        </w:rPr>
        <w:t xml:space="preserve">Valor total disponível para a execução do Serviço é de </w:t>
      </w:r>
      <w:r w:rsidRPr="00853D37">
        <w:rPr>
          <w:rFonts w:ascii="Arial" w:eastAsia="SimSun" w:hAnsi="Arial" w:cs="Arial"/>
          <w:b/>
          <w:bCs/>
          <w:kern w:val="1"/>
          <w:sz w:val="20"/>
          <w:szCs w:val="20"/>
          <w:highlight w:val="yellow"/>
          <w:lang w:val="pt-BR" w:eastAsia="zh-CN" w:bidi="hi-IN"/>
        </w:rPr>
        <w:t>R$ 3</w:t>
      </w:r>
      <w:r w:rsidR="00E2021B" w:rsidRPr="00853D37">
        <w:rPr>
          <w:rFonts w:ascii="Arial" w:eastAsia="SimSun" w:hAnsi="Arial" w:cs="Arial"/>
          <w:b/>
          <w:bCs/>
          <w:kern w:val="1"/>
          <w:sz w:val="20"/>
          <w:szCs w:val="20"/>
          <w:highlight w:val="yellow"/>
          <w:lang w:val="pt-BR" w:eastAsia="zh-CN" w:bidi="hi-IN"/>
        </w:rPr>
        <w:t>06</w:t>
      </w:r>
      <w:r w:rsidR="001F3C71" w:rsidRPr="00853D37">
        <w:rPr>
          <w:rFonts w:ascii="Arial" w:eastAsia="SimSun" w:hAnsi="Arial" w:cs="Arial"/>
          <w:b/>
          <w:bCs/>
          <w:kern w:val="1"/>
          <w:sz w:val="20"/>
          <w:szCs w:val="20"/>
          <w:highlight w:val="yellow"/>
          <w:lang w:val="pt-BR" w:eastAsia="zh-CN" w:bidi="hi-IN"/>
        </w:rPr>
        <w:t>.</w:t>
      </w:r>
      <w:r w:rsidR="00E2021B" w:rsidRPr="00853D37">
        <w:rPr>
          <w:rFonts w:ascii="Arial" w:eastAsia="SimSun" w:hAnsi="Arial" w:cs="Arial"/>
          <w:b/>
          <w:bCs/>
          <w:kern w:val="1"/>
          <w:sz w:val="20"/>
          <w:szCs w:val="20"/>
          <w:highlight w:val="yellow"/>
          <w:lang w:val="pt-BR" w:eastAsia="zh-CN" w:bidi="hi-IN"/>
        </w:rPr>
        <w:t>000</w:t>
      </w:r>
      <w:r w:rsidRPr="00853D37">
        <w:rPr>
          <w:rFonts w:ascii="Arial" w:eastAsia="SimSun" w:hAnsi="Arial" w:cs="Arial"/>
          <w:b/>
          <w:bCs/>
          <w:kern w:val="1"/>
          <w:sz w:val="20"/>
          <w:szCs w:val="20"/>
          <w:highlight w:val="yellow"/>
          <w:lang w:val="pt-BR" w:eastAsia="zh-CN" w:bidi="hi-IN"/>
        </w:rPr>
        <w:t>,</w:t>
      </w:r>
      <w:r w:rsidR="001F3C71" w:rsidRPr="00853D37">
        <w:rPr>
          <w:rFonts w:ascii="Arial" w:eastAsia="SimSun" w:hAnsi="Arial" w:cs="Arial"/>
          <w:b/>
          <w:bCs/>
          <w:kern w:val="1"/>
          <w:sz w:val="20"/>
          <w:szCs w:val="20"/>
          <w:highlight w:val="yellow"/>
          <w:lang w:val="pt-BR" w:eastAsia="zh-CN" w:bidi="hi-IN"/>
        </w:rPr>
        <w:t>00</w:t>
      </w:r>
      <w:r w:rsidRPr="00853D37">
        <w:rPr>
          <w:rFonts w:ascii="Arial" w:eastAsia="SimSun" w:hAnsi="Arial" w:cs="Arial"/>
          <w:kern w:val="1"/>
          <w:sz w:val="20"/>
          <w:szCs w:val="20"/>
          <w:highlight w:val="yellow"/>
          <w:lang w:val="pt-BR" w:eastAsia="zh-CN" w:bidi="hi-IN"/>
        </w:rPr>
        <w:t xml:space="preserve"> (Trezentos e </w:t>
      </w:r>
      <w:r w:rsidR="00E2021B" w:rsidRPr="00853D37">
        <w:rPr>
          <w:rFonts w:ascii="Arial" w:eastAsia="SimSun" w:hAnsi="Arial" w:cs="Arial"/>
          <w:kern w:val="1"/>
          <w:sz w:val="20"/>
          <w:szCs w:val="20"/>
          <w:highlight w:val="yellow"/>
          <w:lang w:val="pt-BR" w:eastAsia="zh-CN" w:bidi="hi-IN"/>
        </w:rPr>
        <w:t>seis</w:t>
      </w:r>
      <w:r w:rsidRPr="00853D37">
        <w:rPr>
          <w:rFonts w:ascii="Arial" w:eastAsia="SimSun" w:hAnsi="Arial" w:cs="Arial"/>
          <w:kern w:val="1"/>
          <w:sz w:val="20"/>
          <w:szCs w:val="20"/>
          <w:highlight w:val="yellow"/>
          <w:lang w:val="pt-BR" w:eastAsia="zh-CN" w:bidi="hi-IN"/>
        </w:rPr>
        <w:t xml:space="preserve"> mil </w:t>
      </w:r>
      <w:r w:rsidR="001F3C71" w:rsidRPr="00853D37">
        <w:rPr>
          <w:rFonts w:ascii="Arial" w:eastAsia="SimSun" w:hAnsi="Arial" w:cs="Arial"/>
          <w:kern w:val="1"/>
          <w:sz w:val="20"/>
          <w:szCs w:val="20"/>
          <w:highlight w:val="yellow"/>
          <w:lang w:val="pt-BR" w:eastAsia="zh-CN" w:bidi="hi-IN"/>
        </w:rPr>
        <w:t>reais), por ano que corresponde a 12 meses de execução do objeto,</w:t>
      </w:r>
      <w:r w:rsidRPr="00853D37">
        <w:rPr>
          <w:rFonts w:ascii="Arial" w:eastAsia="SimSun" w:hAnsi="Arial" w:cs="Arial"/>
          <w:kern w:val="1"/>
          <w:sz w:val="20"/>
          <w:szCs w:val="20"/>
          <w:highlight w:val="yellow"/>
          <w:lang w:val="pt-BR" w:eastAsia="zh-CN" w:bidi="hi-IN"/>
        </w:rPr>
        <w:t xml:space="preserve"> Segue:</w:t>
      </w:r>
    </w:p>
    <w:p w:rsidR="00E859B2" w:rsidRPr="005C2E30" w:rsidRDefault="00E859B2" w:rsidP="00E859B2">
      <w:pPr>
        <w:widowControl/>
        <w:suppressAutoHyphens/>
        <w:autoSpaceDE/>
        <w:autoSpaceDN/>
        <w:rPr>
          <w:rFonts w:ascii="Arial" w:eastAsia="SimSun" w:hAnsi="Arial" w:cs="Arial"/>
          <w:b/>
          <w:kern w:val="1"/>
          <w:sz w:val="20"/>
          <w:szCs w:val="20"/>
          <w:lang w:val="pt-BR" w:eastAsia="zh-CN" w:bidi="hi-IN"/>
        </w:rPr>
      </w:pPr>
      <w:r w:rsidRPr="00853D37">
        <w:rPr>
          <w:rFonts w:ascii="Arial" w:eastAsia="SimSun" w:hAnsi="Arial" w:cs="Arial"/>
          <w:b/>
          <w:kern w:val="1"/>
          <w:sz w:val="20"/>
          <w:szCs w:val="20"/>
          <w:highlight w:val="yellow"/>
          <w:lang w:val="pt-BR" w:eastAsia="zh-CN" w:bidi="hi-IN"/>
        </w:rPr>
        <w:t>a) Fonte de Recurso: Víncu</w:t>
      </w:r>
      <w:r w:rsidR="001F3C71" w:rsidRPr="00853D37">
        <w:rPr>
          <w:rFonts w:ascii="Arial" w:eastAsia="SimSun" w:hAnsi="Arial" w:cs="Arial"/>
          <w:b/>
          <w:kern w:val="1"/>
          <w:sz w:val="20"/>
          <w:szCs w:val="20"/>
          <w:highlight w:val="yellow"/>
          <w:lang w:val="pt-BR" w:eastAsia="zh-CN" w:bidi="hi-IN"/>
        </w:rPr>
        <w:t>lo 01 (Municipal): R$ 306.000,00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b/>
          <w:sz w:val="20"/>
          <w:szCs w:val="20"/>
          <w:lang w:val="pt-BR" w:eastAsia="pt-BR"/>
        </w:rPr>
      </w:pPr>
    </w:p>
    <w:bookmarkEnd w:id="1"/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b/>
          <w:sz w:val="20"/>
          <w:szCs w:val="20"/>
          <w:lang w:val="pt-BR" w:eastAsia="pt-BR"/>
        </w:rPr>
      </w:pPr>
      <w:r w:rsidRPr="006519B4">
        <w:rPr>
          <w:rFonts w:ascii="Arial" w:eastAsia="Times New Roman" w:hAnsi="Arial" w:cs="Arial"/>
          <w:b/>
          <w:sz w:val="20"/>
          <w:szCs w:val="20"/>
          <w:lang w:val="pt-BR" w:eastAsia="pt-BR"/>
        </w:rPr>
        <w:t>EQUIPE MÍNIMA OBRIGATÓRIA A EXECUÇÃO DO SERVIÇO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824"/>
        <w:gridCol w:w="4510"/>
        <w:gridCol w:w="1357"/>
      </w:tblGrid>
      <w:tr w:rsidR="00E859B2" w:rsidRPr="005C2E30" w:rsidTr="001E04D5">
        <w:tc>
          <w:tcPr>
            <w:tcW w:w="8494" w:type="dxa"/>
            <w:gridSpan w:val="4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b/>
                <w:sz w:val="20"/>
                <w:szCs w:val="20"/>
                <w:lang w:val="pt-BR" w:eastAsia="pt-BR"/>
              </w:rPr>
              <w:t>Equipe mínima necessária para execução do serviço</w:t>
            </w:r>
          </w:p>
        </w:tc>
      </w:tr>
      <w:tr w:rsidR="00E859B2" w:rsidRPr="005C2E30" w:rsidTr="001E04D5">
        <w:tc>
          <w:tcPr>
            <w:tcW w:w="803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proofErr w:type="spellStart"/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Qtd</w:t>
            </w:r>
            <w:proofErr w:type="spellEnd"/>
          </w:p>
        </w:tc>
        <w:tc>
          <w:tcPr>
            <w:tcW w:w="1824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Cargo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Escolaridade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Carga Horária</w:t>
            </w:r>
          </w:p>
        </w:tc>
      </w:tr>
      <w:tr w:rsidR="00E859B2" w:rsidRPr="005C2E30" w:rsidTr="001E04D5">
        <w:tc>
          <w:tcPr>
            <w:tcW w:w="803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01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Coordenador</w:t>
            </w:r>
          </w:p>
        </w:tc>
        <w:tc>
          <w:tcPr>
            <w:tcW w:w="4510" w:type="dxa"/>
            <w:shd w:val="clear" w:color="auto" w:fill="auto"/>
          </w:tcPr>
          <w:p w:rsidR="00E859B2" w:rsidRPr="005C2E30" w:rsidRDefault="006519B4" w:rsidP="001E04D5">
            <w:pPr>
              <w:widowControl/>
              <w:autoSpaceDE/>
              <w:autoSpaceDN/>
              <w:contextualSpacing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Nível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Medio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 / ou Superior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40 horas</w:t>
            </w:r>
          </w:p>
        </w:tc>
      </w:tr>
      <w:tr w:rsidR="00E859B2" w:rsidRPr="005C2E30" w:rsidTr="001E04D5">
        <w:tc>
          <w:tcPr>
            <w:tcW w:w="803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01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Assistente Social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Nível superior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30 horas</w:t>
            </w:r>
          </w:p>
        </w:tc>
      </w:tr>
      <w:tr w:rsidR="00E859B2" w:rsidRPr="005C2E30" w:rsidTr="001E04D5">
        <w:tc>
          <w:tcPr>
            <w:tcW w:w="803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01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Psicólogo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Nível Superior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20 horas</w:t>
            </w:r>
          </w:p>
        </w:tc>
      </w:tr>
      <w:tr w:rsidR="00E859B2" w:rsidRPr="005C2E30" w:rsidTr="001E04D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2" w:rsidRPr="005C2E30" w:rsidRDefault="006519B4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Orientador / Educador social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Nível médio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12h X 36h ou 44h</w:t>
            </w:r>
          </w:p>
        </w:tc>
      </w:tr>
      <w:tr w:rsidR="00E859B2" w:rsidRPr="005C2E30" w:rsidTr="001E04D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Cozinheira /</w:t>
            </w:r>
          </w:p>
          <w:p w:rsidR="00E859B2" w:rsidRPr="005C2E30" w:rsidRDefault="00E859B2" w:rsidP="001E04D5">
            <w:pPr>
              <w:widowControl/>
              <w:autoSpaceDE/>
              <w:autoSpaceDN/>
              <w:contextualSpacing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Profissional de alimentação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Nível fundamental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44 horas</w:t>
            </w:r>
          </w:p>
        </w:tc>
      </w:tr>
      <w:tr w:rsidR="00E859B2" w:rsidRPr="005C2E30" w:rsidTr="001E04D5">
        <w:tc>
          <w:tcPr>
            <w:tcW w:w="803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01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proofErr w:type="spellStart"/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Folguista</w:t>
            </w:r>
            <w:proofErr w:type="spellEnd"/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 Educador Social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Nível médio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859B2" w:rsidRPr="005C2E30" w:rsidRDefault="00E859B2" w:rsidP="001E04D5">
            <w:pPr>
              <w:widowControl/>
              <w:autoSpaceDE/>
              <w:autoSpaceDN/>
              <w:contextualSpacing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C2E30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44 horas</w:t>
            </w:r>
          </w:p>
        </w:tc>
      </w:tr>
      <w:tr w:rsidR="006519B4" w:rsidRPr="005C2E30" w:rsidTr="001E04D5">
        <w:tc>
          <w:tcPr>
            <w:tcW w:w="803" w:type="dxa"/>
            <w:shd w:val="clear" w:color="auto" w:fill="auto"/>
            <w:vAlign w:val="center"/>
          </w:tcPr>
          <w:p w:rsidR="006519B4" w:rsidRPr="005C2E30" w:rsidRDefault="006519B4" w:rsidP="001E04D5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01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6519B4" w:rsidRPr="005C2E30" w:rsidRDefault="006519B4" w:rsidP="001E04D5">
            <w:pPr>
              <w:widowControl/>
              <w:autoSpaceDE/>
              <w:autoSpaceDN/>
              <w:contextualSpacing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Nutricionista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6519B4" w:rsidRPr="005C2E30" w:rsidRDefault="006519B4" w:rsidP="001E04D5">
            <w:pPr>
              <w:widowControl/>
              <w:autoSpaceDE/>
              <w:autoSpaceDN/>
              <w:contextualSpacing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Nível Superior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6519B4" w:rsidRPr="005C2E30" w:rsidRDefault="006519B4" w:rsidP="001E04D5">
            <w:pPr>
              <w:widowControl/>
              <w:autoSpaceDE/>
              <w:autoSpaceDN/>
              <w:contextualSpacing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08 horas</w:t>
            </w:r>
          </w:p>
        </w:tc>
      </w:tr>
    </w:tbl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b/>
          <w:sz w:val="20"/>
          <w:szCs w:val="20"/>
          <w:lang w:val="pt-BR" w:eastAsia="pt-BR"/>
        </w:rPr>
      </w:pP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b/>
          <w:sz w:val="20"/>
          <w:szCs w:val="20"/>
          <w:lang w:val="pt-BR" w:eastAsia="pt-BR"/>
        </w:rPr>
      </w:pP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b/>
          <w:sz w:val="20"/>
          <w:szCs w:val="20"/>
          <w:lang w:val="pt-BR" w:eastAsia="pt-BR"/>
        </w:rPr>
        <w:t>COMPETÊNCIAS DA EQUIPE MÍNIMA DE RECURSOS HUMANOS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b/>
          <w:sz w:val="20"/>
          <w:szCs w:val="20"/>
          <w:lang w:val="pt-BR" w:eastAsia="pt-BR"/>
        </w:rPr>
        <w:t xml:space="preserve">Coordenador Técnico: </w:t>
      </w: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 xml:space="preserve">Gestão do serviço; </w:t>
      </w:r>
      <w:proofErr w:type="gramStart"/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>Elaborar</w:t>
      </w:r>
      <w:proofErr w:type="gramEnd"/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>, em conjunto com a equipe técnica e demais colaboradores, o Plano de Trabalho no serviço; Organizar a seleção e contratação de pessoal e supervisão dos trabalhos desenvolvidos; Articulação com a rede de serviços; Articulação com o Sistema de Garantia de Direitos.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b/>
          <w:sz w:val="20"/>
          <w:szCs w:val="20"/>
          <w:lang w:val="pt-BR" w:eastAsia="pt-BR"/>
        </w:rPr>
        <w:t>Assistente Social:</w:t>
      </w: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 xml:space="preserve"> Elaboração, em conjunto com o coordenador e demais colaboradores, o Plano de Trabalho do serviço; Acompanhamento psicossocial dos usuários e suas respectivas famílias, com vistas à reintegração familiar; Apoio na seleção dos cuidadores e demais funcionários; Capacitação e acompanhamento dos cuidadores e demais funcionários; Apoio e acompanhamento do trabalho desenvolvido pelos cuidadores; Encaminhamento, discussão e planejamento conjunto com outros atores da rede de serviços e do Sistema de Garantia de Direitos das intervenções necessárias ao acompanhamento das pessoas idosas e seus familiares quando houver; Organização das informações das pessoas idosas e respectivas famílias quando houver, na forma de prontuário individual.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b/>
          <w:sz w:val="20"/>
          <w:szCs w:val="20"/>
          <w:lang w:val="pt-BR" w:eastAsia="pt-BR"/>
        </w:rPr>
        <w:t>Psicólogo:</w:t>
      </w: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 xml:space="preserve"> Elaboração, em conjunto com o coordenador e demais colaboradores, o Plano de Trabalho do serviço; Acompanhamento psicossocial dos usuários e suas respectivas famílias, com vistas à reintegração familiar; Apoio na seleção dos cuidadores e demais funcionários; Capacitação e acompanhamento dos cuidadores e demais funcionários; Apoio e acompanhamento do trabalho desenvolvido pelos cuidadores; Encaminhamento, discussão e planejamento conjunto com outros atores da rede de serviços e do Sistema de Garantia de Direitos das intervenções necessárias ao acompanhamento das pessoas idosas e seus familiares quando houver; Organização das informações das pessoas idosas e respectivas famílias quando houver, na forma de prontuário individual.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b/>
          <w:sz w:val="20"/>
          <w:szCs w:val="20"/>
          <w:lang w:val="pt-BR" w:eastAsia="pt-BR"/>
        </w:rPr>
        <w:t>Orientador/Educador social:</w:t>
      </w: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 xml:space="preserve"> Propiciar um ambiente favorável de acolhimento e escuta mútua visando tanto o bem-estar da usuária quanto a construção de vínculos que possibilitem às usuárias a concepção do serviço como um dos elementos que constituem sua rede de proteção e apoio; Participar do planejamento das ações a serem desenvolvidas no serviço em conjunto com a equipe técnica, bem como organizar, facilitar oficinas e desenvolver as atividades socioeducativas com as usuárias, que contribuam com a prevenção de rompimentos de vínculos familiares e comunitários, possibilitando o enfrentamento de situações de fragilidade social vivenciadas e conhecimento aos seus direitos, desenvolver autonomia, entre outros; Avaliar diariamente com as usuárias as atividades socioeducativas que foram desenvolvidas com as mesmas bem como o seu registro contendo também a reflexão dos educadores; Registrar as atividades desenvolvidas; Discutir, com a equipe técnica, situações identificadas junto às usuárias com relação à violação de direitos, conflitos na dinâmica familiar, e outros que houver necessidade; Participar das discussões de caso junto à equipe técnica, quando houver necessidade ou for solicitado, para favorecer a integração do trabalho com as usuárias e respectivas famílias.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C2E30">
        <w:rPr>
          <w:rFonts w:ascii="Arial" w:eastAsia="Times New Roman" w:hAnsi="Arial" w:cs="Arial"/>
          <w:b/>
          <w:sz w:val="20"/>
          <w:szCs w:val="20"/>
          <w:lang w:val="pt-BR" w:eastAsia="pt-BR"/>
        </w:rPr>
        <w:t xml:space="preserve">Cozinheira/ Profissional de alimentação: </w:t>
      </w: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>Desempenhar atividades de organização e supervisão dos serviços de cozinha em locais de refeição; Apoiar no planejamento de cardápios e elaboração do pré-preparo, o preparo e a finalização e na triagem da validação e armazenamento de alimentos, observando métodos de cocção e padrões de qualidade dos alimentos, considerando os usuários e suas necessidades; Otimizar a utilização dos recursos disponibilizados; Trabalhar seguindo as normas de segurança, higiene, qualidade e proteção ao meio ambiente e às pessoas.</w:t>
      </w: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b/>
          <w:sz w:val="20"/>
          <w:szCs w:val="20"/>
          <w:lang w:val="pt-BR" w:eastAsia="pt-BR"/>
        </w:rPr>
      </w:pP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pt-BR" w:eastAsia="pt-BR"/>
        </w:rPr>
      </w:pPr>
    </w:p>
    <w:p w:rsidR="00E859B2" w:rsidRPr="005C2E30" w:rsidRDefault="00E859B2" w:rsidP="00E859B2">
      <w:pPr>
        <w:widowControl/>
        <w:autoSpaceDE/>
        <w:autoSpaceDN/>
        <w:spacing w:after="120"/>
        <w:contextualSpacing/>
        <w:jc w:val="both"/>
        <w:rPr>
          <w:rFonts w:ascii="Arial" w:eastAsia="Calibri" w:hAnsi="Arial" w:cs="Arial"/>
          <w:sz w:val="20"/>
          <w:szCs w:val="20"/>
          <w:lang w:val="pt-BR"/>
        </w:rPr>
      </w:pPr>
      <w:r w:rsidRPr="005C2E30">
        <w:rPr>
          <w:rFonts w:ascii="Arial" w:eastAsia="Times New Roman" w:hAnsi="Arial" w:cs="Arial"/>
          <w:b/>
          <w:sz w:val="20"/>
          <w:szCs w:val="20"/>
          <w:lang w:val="pt-BR" w:eastAsia="pt-BR"/>
        </w:rPr>
        <w:t>OBS</w:t>
      </w:r>
      <w:r>
        <w:rPr>
          <w:rFonts w:ascii="Arial" w:eastAsia="Times New Roman" w:hAnsi="Arial" w:cs="Arial"/>
          <w:sz w:val="20"/>
          <w:szCs w:val="20"/>
          <w:lang w:val="pt-BR" w:eastAsia="pt-BR"/>
        </w:rPr>
        <w:t xml:space="preserve">: </w:t>
      </w:r>
      <w:r w:rsidRPr="005C2E30">
        <w:rPr>
          <w:rFonts w:ascii="Arial" w:eastAsia="Times New Roman" w:hAnsi="Arial" w:cs="Arial"/>
          <w:sz w:val="20"/>
          <w:szCs w:val="20"/>
          <w:lang w:val="pt-BR" w:eastAsia="pt-BR"/>
        </w:rPr>
        <w:t>Os profissionais contratados pela Organização da Sociedade Civil devem ter a qualificação necessária, bem como comprovada capacidade técnica para execução da atividade para que foram contratados.</w:t>
      </w:r>
    </w:p>
    <w:sectPr w:rsidR="00E859B2" w:rsidRPr="005C2E3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FF0" w:rsidRDefault="007C3FF0" w:rsidP="007C3FF0">
      <w:r>
        <w:separator/>
      </w:r>
    </w:p>
  </w:endnote>
  <w:endnote w:type="continuationSeparator" w:id="0">
    <w:p w:rsidR="007C3FF0" w:rsidRDefault="007C3FF0" w:rsidP="007C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FF0" w:rsidRDefault="007C3FF0" w:rsidP="007C3FF0">
      <w:r>
        <w:separator/>
      </w:r>
    </w:p>
  </w:footnote>
  <w:footnote w:type="continuationSeparator" w:id="0">
    <w:p w:rsidR="007C3FF0" w:rsidRDefault="007C3FF0" w:rsidP="007C3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FF0" w:rsidRDefault="007C3FF0" w:rsidP="007C3FF0">
    <w:pPr>
      <w:pStyle w:val="Cabealho"/>
      <w:tabs>
        <w:tab w:val="center" w:pos="-2268"/>
      </w:tabs>
      <w:ind w:right="-993"/>
      <w:rPr>
        <w:b/>
        <w:sz w:val="36"/>
        <w:szCs w:val="36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7CB8E374" wp14:editId="5BFADD63">
          <wp:simplePos x="0" y="0"/>
          <wp:positionH relativeFrom="column">
            <wp:posOffset>-353060</wp:posOffset>
          </wp:positionH>
          <wp:positionV relativeFrom="paragraph">
            <wp:posOffset>-20320</wp:posOffset>
          </wp:positionV>
          <wp:extent cx="800735" cy="914400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914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89535" distR="89535" simplePos="0" relativeHeight="251659264" behindDoc="0" locked="0" layoutInCell="1" allowOverlap="1" wp14:anchorId="420C0FBB" wp14:editId="63C460EF">
              <wp:simplePos x="0" y="0"/>
              <wp:positionH relativeFrom="page">
                <wp:posOffset>436245</wp:posOffset>
              </wp:positionH>
              <wp:positionV relativeFrom="paragraph">
                <wp:posOffset>-77470</wp:posOffset>
              </wp:positionV>
              <wp:extent cx="763905" cy="170815"/>
              <wp:effectExtent l="7620" t="825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FF0" w:rsidRDefault="007C3FF0" w:rsidP="007C3FF0">
                          <w:pPr>
                            <w:pStyle w:val="Cabealho"/>
                            <w:tabs>
                              <w:tab w:val="left" w:pos="0"/>
                            </w:tabs>
                            <w:ind w:right="1219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C0F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35pt;margin-top:-6.1pt;width:60.15pt;height:13.4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" stroked="f">
              <v:fill opacity="0"/>
              <v:textbox style="mso-fit-shape-to-text:t" inset="0,0,0,0">
                <w:txbxContent>
                  <w:p w:rsidR="007C3FF0" w:rsidRDefault="007C3FF0" w:rsidP="007C3FF0">
                    <w:pPr>
                      <w:pStyle w:val="Cabealho"/>
                      <w:tabs>
                        <w:tab w:val="left" w:pos="0"/>
                      </w:tabs>
                      <w:ind w:right="1219"/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Century Gothic" w:hAnsi="Century Gothic"/>
        <w:b/>
        <w:color w:val="0F243E"/>
        <w:sz w:val="40"/>
        <w:u w:val="single"/>
      </w:rPr>
      <w:t xml:space="preserve">  </w:t>
    </w:r>
    <w:r>
      <w:rPr>
        <w:rFonts w:ascii="Century Gothic" w:hAnsi="Century Gothic"/>
        <w:b/>
        <w:color w:val="0F243E"/>
        <w:sz w:val="40"/>
      </w:rPr>
      <w:t xml:space="preserve">           </w:t>
    </w:r>
    <w:r>
      <w:rPr>
        <w:rFonts w:ascii="Century Gothic" w:hAnsi="Century Gothic"/>
        <w:b/>
        <w:sz w:val="36"/>
        <w:szCs w:val="36"/>
        <w:u w:val="single"/>
      </w:rPr>
      <w:t>Prefeitura do Município de Jaguariúna</w:t>
    </w:r>
    <w:r>
      <w:rPr>
        <w:b/>
        <w:sz w:val="36"/>
        <w:szCs w:val="36"/>
      </w:rPr>
      <w:t xml:space="preserve"> </w:t>
    </w:r>
  </w:p>
  <w:p w:rsidR="007C3FF0" w:rsidRPr="00DB1827" w:rsidRDefault="007C3FF0" w:rsidP="007C3FF0">
    <w:pPr>
      <w:pStyle w:val="Cabealho"/>
      <w:tabs>
        <w:tab w:val="center" w:pos="-2268"/>
      </w:tabs>
      <w:ind w:left="426" w:right="-567"/>
      <w:jc w:val="both"/>
      <w:rPr>
        <w:rFonts w:ascii="Century Gothic" w:hAnsi="Century Gothic"/>
        <w:b/>
        <w:sz w:val="16"/>
        <w:szCs w:val="20"/>
      </w:rPr>
    </w:pPr>
    <w:r>
      <w:rPr>
        <w:rFonts w:ascii="Century Gothic" w:hAnsi="Century Gothic"/>
        <w:b/>
        <w:sz w:val="16"/>
      </w:rPr>
      <w:t xml:space="preserve">                   Rua Alfredo Bueno , 1235  - Centro -Jaguariúna-SP - CEP 13820-000-Fone: (019)  3867 9700</w:t>
    </w:r>
    <w:r>
      <w:rPr>
        <w:rFonts w:ascii="Century Gothic" w:hAnsi="Century Gothic"/>
        <w:b/>
        <w:sz w:val="16"/>
      </w:rPr>
      <w:tab/>
    </w:r>
  </w:p>
  <w:p w:rsidR="007C3FF0" w:rsidRPr="00EF7C55" w:rsidRDefault="007C3FF0" w:rsidP="007C3FF0">
    <w:pPr>
      <w:pStyle w:val="Cabealho"/>
      <w:tabs>
        <w:tab w:val="center" w:pos="-2268"/>
      </w:tabs>
      <w:ind w:left="426" w:right="-567"/>
      <w:jc w:val="center"/>
      <w:rPr>
        <w:rFonts w:ascii="Century Gothic" w:hAnsi="Century Gothic"/>
        <w:b/>
        <w:sz w:val="6"/>
        <w:szCs w:val="6"/>
      </w:rPr>
    </w:pPr>
    <w:r>
      <w:rPr>
        <w:rFonts w:ascii="Century Gothic" w:hAnsi="Century Gothic"/>
        <w:b/>
        <w:sz w:val="18"/>
        <w:szCs w:val="18"/>
        <w:u w:val="single"/>
      </w:rPr>
      <w:t>SECRETARIA  DE ASSISTÊNCIA SOCIAL</w:t>
    </w:r>
  </w:p>
  <w:p w:rsidR="007C3FF0" w:rsidRDefault="007C3FF0" w:rsidP="007C3FF0">
    <w:pPr>
      <w:pStyle w:val="Cabealho"/>
      <w:tabs>
        <w:tab w:val="center" w:pos="-2268"/>
      </w:tabs>
      <w:ind w:right="-567"/>
      <w:rPr>
        <w:rFonts w:ascii="Century Gothic" w:hAnsi="Century Gothic"/>
        <w:bCs/>
        <w:sz w:val="16"/>
        <w:szCs w:val="16"/>
      </w:rPr>
    </w:pPr>
    <w:r>
      <w:rPr>
        <w:rFonts w:ascii="Century Gothic" w:hAnsi="Century Gothic"/>
        <w:bCs/>
        <w:sz w:val="18"/>
      </w:rPr>
      <w:t xml:space="preserve">                 </w:t>
    </w:r>
    <w:r>
      <w:rPr>
        <w:rFonts w:ascii="Century Gothic" w:hAnsi="Century Gothic"/>
        <w:bCs/>
        <w:sz w:val="16"/>
        <w:szCs w:val="16"/>
      </w:rPr>
      <w:t xml:space="preserve">Rua Julia Bueno, 191, entrada lateral, – Centro – Fone/fax – 3837-3373 / 3837-3311 / 3837-3944 </w:t>
    </w:r>
  </w:p>
  <w:p w:rsidR="007C3FF0" w:rsidRDefault="007C3FF0" w:rsidP="007C3FF0">
    <w:pPr>
      <w:pStyle w:val="Cabealho"/>
      <w:tabs>
        <w:tab w:val="center" w:pos="-2268"/>
      </w:tabs>
      <w:ind w:right="-567"/>
      <w:rPr>
        <w:rFonts w:ascii="Century Gothic" w:hAnsi="Century Gothic"/>
        <w:bCs/>
        <w:sz w:val="16"/>
        <w:szCs w:val="16"/>
      </w:rPr>
    </w:pPr>
    <w:r>
      <w:rPr>
        <w:rFonts w:ascii="Century Gothic" w:hAnsi="Century Gothic"/>
        <w:bCs/>
        <w:sz w:val="16"/>
        <w:szCs w:val="16"/>
      </w:rPr>
      <w:t xml:space="preserve">                                                                             E-mail – </w:t>
    </w:r>
    <w:hyperlink r:id="rId2" w:history="1">
      <w:r>
        <w:rPr>
          <w:rStyle w:val="Hyperlink"/>
          <w:rFonts w:ascii="Century Gothic" w:hAnsi="Century Gothic"/>
          <w:bCs/>
          <w:sz w:val="16"/>
          <w:szCs w:val="16"/>
        </w:rPr>
        <w:t>sas@jaguariuna.sp.gov.br</w:t>
      </w:r>
    </w:hyperlink>
  </w:p>
  <w:p w:rsidR="007C3FF0" w:rsidRDefault="007C3FF0" w:rsidP="007C3FF0">
    <w:pPr>
      <w:pStyle w:val="Cabealho"/>
      <w:tabs>
        <w:tab w:val="center" w:pos="-2268"/>
      </w:tabs>
      <w:ind w:left="1134" w:right="-567"/>
      <w:rPr>
        <w:rFonts w:ascii="Century Gothic" w:hAnsi="Century Gothic"/>
        <w:bCs/>
        <w:sz w:val="16"/>
        <w:szCs w:val="16"/>
      </w:rPr>
    </w:pPr>
  </w:p>
  <w:p w:rsidR="007C3FF0" w:rsidRDefault="007C3FF0" w:rsidP="007C3FF0">
    <w:pPr>
      <w:pStyle w:val="Cabealho"/>
      <w:tabs>
        <w:tab w:val="center" w:pos="-2268"/>
      </w:tabs>
      <w:ind w:left="1134" w:right="-567"/>
      <w:rPr>
        <w:rFonts w:ascii="Century Gothic" w:hAnsi="Century Gothic"/>
        <w:bCs/>
        <w:sz w:val="16"/>
        <w:szCs w:val="16"/>
      </w:rPr>
    </w:pPr>
  </w:p>
  <w:p w:rsidR="007C3FF0" w:rsidRDefault="007C3F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C0898"/>
    <w:multiLevelType w:val="hybridMultilevel"/>
    <w:tmpl w:val="C77ED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C0ED6"/>
    <w:multiLevelType w:val="hybridMultilevel"/>
    <w:tmpl w:val="9A9CB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B0"/>
    <w:rsid w:val="00025EDE"/>
    <w:rsid w:val="00046C8A"/>
    <w:rsid w:val="001F3C71"/>
    <w:rsid w:val="002D62E7"/>
    <w:rsid w:val="00435781"/>
    <w:rsid w:val="006519B4"/>
    <w:rsid w:val="007110B7"/>
    <w:rsid w:val="007C3FF0"/>
    <w:rsid w:val="007F5361"/>
    <w:rsid w:val="00853D37"/>
    <w:rsid w:val="00AE55B0"/>
    <w:rsid w:val="00B65BBA"/>
    <w:rsid w:val="00DF453C"/>
    <w:rsid w:val="00E2021B"/>
    <w:rsid w:val="00E8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5608"/>
  <w15:chartTrackingRefBased/>
  <w15:docId w15:val="{A9814C99-096B-47FA-B97F-F1B6D4FC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9B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859B2"/>
    <w:pPr>
      <w:ind w:left="120"/>
      <w:jc w:val="both"/>
    </w:pPr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E859B2"/>
    <w:rPr>
      <w:rFonts w:ascii="Arial MT" w:eastAsia="Arial MT" w:hAnsi="Arial MT" w:cs="Arial MT"/>
      <w:sz w:val="16"/>
      <w:szCs w:val="16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6C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C8A"/>
    <w:rPr>
      <w:rFonts w:ascii="Segoe UI" w:eastAsia="Arial MT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C3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3FF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C3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3FF0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7C3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s@jaguariuna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1823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PMJ-SAS</dc:creator>
  <cp:keywords/>
  <dc:description/>
  <cp:lastModifiedBy>PMJ-SAS</cp:lastModifiedBy>
  <cp:revision>11</cp:revision>
  <cp:lastPrinted>2022-10-28T16:34:00Z</cp:lastPrinted>
  <dcterms:created xsi:type="dcterms:W3CDTF">2022-10-28T14:40:00Z</dcterms:created>
  <dcterms:modified xsi:type="dcterms:W3CDTF">2023-05-10T14:36:00Z</dcterms:modified>
</cp:coreProperties>
</file>